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528" w:rsidRDefault="00013528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Default="009D4202" w:rsidP="00DD2EC1">
      <w:pPr>
        <w:spacing w:before="0" w:after="0"/>
        <w:contextualSpacing/>
        <w:jc w:val="both"/>
      </w:pPr>
    </w:p>
    <w:p w:rsidR="009D4202" w:rsidRPr="003F3282" w:rsidRDefault="009D4202" w:rsidP="00DD2EC1">
      <w:pPr>
        <w:spacing w:before="0" w:after="0"/>
        <w:contextualSpacing/>
        <w:jc w:val="both"/>
      </w:pPr>
    </w:p>
    <w:p w:rsidR="00017D6E" w:rsidRPr="003F3282" w:rsidRDefault="00017D6E" w:rsidP="00DD2EC1">
      <w:pPr>
        <w:spacing w:before="0" w:after="0"/>
        <w:contextualSpacing/>
        <w:jc w:val="both"/>
      </w:pPr>
    </w:p>
    <w:p w:rsidR="00017D6E" w:rsidRPr="003F3282" w:rsidRDefault="00017D6E" w:rsidP="00DD2EC1">
      <w:pPr>
        <w:spacing w:before="0" w:after="0"/>
        <w:contextualSpacing/>
        <w:jc w:val="center"/>
        <w:rPr>
          <w:b/>
          <w:bCs/>
        </w:rPr>
      </w:pPr>
      <w:r w:rsidRPr="003F3282">
        <w:rPr>
          <w:b/>
          <w:bCs/>
        </w:rPr>
        <w:t>ОТЧЕТ ЭМИТЕНТА ЭМИССИОННЫХ ЦЕННЫХ БУМАГ</w:t>
      </w:r>
    </w:p>
    <w:p w:rsidR="00013528" w:rsidRPr="003F3282" w:rsidRDefault="00013528" w:rsidP="00DD2EC1">
      <w:pPr>
        <w:spacing w:before="0" w:after="0"/>
        <w:contextualSpacing/>
        <w:jc w:val="center"/>
        <w:rPr>
          <w:b/>
          <w:bCs/>
          <w:i/>
          <w:iCs/>
        </w:rPr>
      </w:pPr>
    </w:p>
    <w:p w:rsidR="00017D6E" w:rsidRPr="003F3282" w:rsidRDefault="00017D6E" w:rsidP="00DD2EC1">
      <w:pPr>
        <w:spacing w:before="0" w:after="0"/>
        <w:contextualSpacing/>
        <w:jc w:val="center"/>
        <w:rPr>
          <w:b/>
          <w:bCs/>
          <w:i/>
          <w:iCs/>
        </w:rPr>
      </w:pPr>
      <w:r w:rsidRPr="003F3282">
        <w:rPr>
          <w:b/>
          <w:bCs/>
          <w:i/>
          <w:iCs/>
        </w:rPr>
        <w:t>Публичное акционерное общество "Туймазинский завод автобетоновозов"</w:t>
      </w:r>
    </w:p>
    <w:p w:rsidR="00013528" w:rsidRPr="003F3282" w:rsidRDefault="00013528" w:rsidP="00DD2EC1">
      <w:pPr>
        <w:spacing w:before="0" w:after="0"/>
        <w:contextualSpacing/>
        <w:jc w:val="center"/>
        <w:rPr>
          <w:b/>
          <w:bCs/>
          <w:i/>
          <w:iCs/>
        </w:rPr>
      </w:pPr>
    </w:p>
    <w:p w:rsidR="00017D6E" w:rsidRPr="003F3282" w:rsidRDefault="00017D6E" w:rsidP="00DD2EC1">
      <w:pPr>
        <w:spacing w:before="0" w:after="0"/>
        <w:contextualSpacing/>
        <w:jc w:val="center"/>
        <w:rPr>
          <w:b/>
          <w:bCs/>
          <w:i/>
          <w:iCs/>
        </w:rPr>
      </w:pPr>
      <w:r w:rsidRPr="003F3282">
        <w:rPr>
          <w:b/>
          <w:bCs/>
          <w:i/>
          <w:iCs/>
        </w:rPr>
        <w:t>Код эмитента: 30455-D</w:t>
      </w:r>
    </w:p>
    <w:p w:rsidR="00013528" w:rsidRPr="003F3282" w:rsidRDefault="00013528" w:rsidP="00DD2EC1">
      <w:pPr>
        <w:spacing w:before="0" w:after="0"/>
        <w:contextualSpacing/>
        <w:jc w:val="center"/>
        <w:rPr>
          <w:b/>
          <w:bCs/>
        </w:rPr>
      </w:pPr>
    </w:p>
    <w:p w:rsidR="00017D6E" w:rsidRPr="003F3282" w:rsidRDefault="00017D6E" w:rsidP="00DD2EC1">
      <w:pPr>
        <w:spacing w:before="0" w:after="0"/>
        <w:contextualSpacing/>
        <w:jc w:val="center"/>
        <w:rPr>
          <w:b/>
          <w:bCs/>
        </w:rPr>
      </w:pPr>
      <w:r w:rsidRPr="003F3282">
        <w:rPr>
          <w:b/>
          <w:bCs/>
        </w:rPr>
        <w:t>за 12 месяцев 2024 г.</w:t>
      </w:r>
    </w:p>
    <w:p w:rsidR="00013528" w:rsidRPr="003F3282" w:rsidRDefault="00013528" w:rsidP="00DD2EC1">
      <w:pPr>
        <w:spacing w:before="0" w:after="0"/>
        <w:contextualSpacing/>
        <w:jc w:val="center"/>
        <w:rPr>
          <w:b/>
          <w:bCs/>
        </w:rPr>
      </w:pPr>
    </w:p>
    <w:p w:rsidR="00017D6E" w:rsidRPr="003F3282" w:rsidRDefault="00017D6E" w:rsidP="00DD2EC1">
      <w:pPr>
        <w:spacing w:before="0" w:after="0"/>
        <w:contextualSpacing/>
        <w:jc w:val="center"/>
        <w:rPr>
          <w:b/>
          <w:bCs/>
        </w:rPr>
      </w:pPr>
      <w:r w:rsidRPr="003F3282">
        <w:rPr>
          <w:b/>
          <w:bCs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:rsidR="00017D6E" w:rsidRPr="003F3282" w:rsidRDefault="00017D6E" w:rsidP="00DD2EC1">
      <w:pPr>
        <w:spacing w:before="0" w:after="0"/>
        <w:contextualSpacing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017D6E" w:rsidRPr="003F3282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3F3282">
              <w:rPr>
                <w:b/>
                <w:bCs/>
              </w:rPr>
              <w:t>452755 Российская Федерация, Республика Башкортостан, г.</w:t>
            </w:r>
            <w:r w:rsidR="00132EBC" w:rsidRPr="003F3282">
              <w:rPr>
                <w:b/>
                <w:bCs/>
              </w:rPr>
              <w:t xml:space="preserve"> </w:t>
            </w:r>
            <w:r w:rsidRPr="003F3282">
              <w:rPr>
                <w:b/>
                <w:bCs/>
              </w:rPr>
              <w:t>Туймазы, 70 лет Октября, 17</w:t>
            </w:r>
          </w:p>
        </w:tc>
      </w:tr>
      <w:tr w:rsidR="00017D6E" w:rsidRPr="003F3282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7D6E" w:rsidRPr="00E779B0" w:rsidRDefault="003F3282" w:rsidP="00DD2EC1">
            <w:pPr>
              <w:spacing w:before="0" w:after="0"/>
              <w:contextualSpacing/>
              <w:jc w:val="both"/>
            </w:pPr>
            <w:r w:rsidRPr="00E779B0">
              <w:rPr>
                <w:b/>
                <w:bCs/>
              </w:rPr>
              <w:t>Гафиятуллин Марсель Наилевич – Начальник юридического бюро</w:t>
            </w:r>
          </w:p>
          <w:p w:rsidR="00017D6E" w:rsidRPr="00E779B0" w:rsidRDefault="00017D6E" w:rsidP="00DD2EC1">
            <w:pPr>
              <w:spacing w:before="0" w:after="0"/>
              <w:contextualSpacing/>
              <w:jc w:val="both"/>
            </w:pPr>
            <w:r w:rsidRPr="00E779B0">
              <w:t>Телефон:</w:t>
            </w:r>
            <w:r w:rsidRPr="00E779B0">
              <w:rPr>
                <w:b/>
                <w:bCs/>
              </w:rPr>
              <w:t xml:space="preserve"> (34782)27280; (34782) 27207</w:t>
            </w:r>
          </w:p>
          <w:p w:rsidR="00017D6E" w:rsidRPr="00E779B0" w:rsidRDefault="00017D6E" w:rsidP="00DD2EC1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E779B0">
              <w:t>Адрес электронной почты</w:t>
            </w:r>
            <w:r w:rsidR="00CA184A" w:rsidRPr="00E779B0">
              <w:t xml:space="preserve">: </w:t>
            </w:r>
            <w:r w:rsidR="00CA184A" w:rsidRPr="00E779B0">
              <w:rPr>
                <w:b/>
              </w:rPr>
              <w:t>GafiyatullinMN@kamaz.ru</w:t>
            </w:r>
            <w:r w:rsidRPr="00E779B0">
              <w:rPr>
                <w:b/>
                <w:bCs/>
              </w:rPr>
              <w:t>; pr-gdtza@kamaz.ru</w:t>
            </w:r>
          </w:p>
        </w:tc>
        <w:tc>
          <w:tcPr>
            <w:tcW w:w="360" w:type="dxa"/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</w:p>
        </w:tc>
      </w:tr>
    </w:tbl>
    <w:p w:rsidR="00017D6E" w:rsidRPr="003F3282" w:rsidRDefault="00017D6E" w:rsidP="00DD2EC1">
      <w:pPr>
        <w:spacing w:before="0" w:after="0"/>
        <w:contextualSpacing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017D6E" w:rsidRPr="003F3282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  <w:rPr>
                <w:b/>
                <w:bCs/>
              </w:rPr>
            </w:pPr>
            <w:r w:rsidRPr="003F3282">
              <w:rPr>
                <w:b/>
                <w:bCs/>
              </w:rPr>
              <w:t>www.tzacom.ru; https://www.e-disclosure.ru/portal/company.aspx?id=1355</w:t>
            </w:r>
          </w:p>
        </w:tc>
      </w:tr>
    </w:tbl>
    <w:p w:rsidR="00017D6E" w:rsidRPr="003F3282" w:rsidRDefault="00017D6E" w:rsidP="00DD2EC1">
      <w:pPr>
        <w:spacing w:before="0" w:after="0"/>
        <w:contextualSpacing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017D6E" w:rsidRPr="003F3282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</w:p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Генеральный директор</w:t>
            </w:r>
          </w:p>
          <w:p w:rsidR="00017D6E" w:rsidRPr="003F3282" w:rsidRDefault="00017D6E" w:rsidP="00FB6F32">
            <w:pPr>
              <w:spacing w:before="0" w:after="0"/>
              <w:contextualSpacing/>
              <w:jc w:val="both"/>
            </w:pPr>
            <w:r w:rsidRPr="003F3282">
              <w:t>Дата: 2</w:t>
            </w:r>
            <w:r w:rsidR="00FB6F32">
              <w:t>7</w:t>
            </w:r>
            <w:r w:rsidRPr="003F3282">
              <w:t xml:space="preserve"> мая 2025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</w:p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br/>
              <w:t xml:space="preserve">____________ Т.Ф. </w:t>
            </w:r>
            <w:proofErr w:type="spellStart"/>
            <w:r w:rsidRPr="003F3282">
              <w:t>Нуриахметов</w:t>
            </w:r>
            <w:proofErr w:type="spellEnd"/>
            <w:r w:rsidRPr="003F3282">
              <w:br/>
              <w:t xml:space="preserve">    подпись</w:t>
            </w:r>
          </w:p>
        </w:tc>
      </w:tr>
    </w:tbl>
    <w:p w:rsidR="00017D6E" w:rsidRPr="003F3282" w:rsidRDefault="00017D6E" w:rsidP="00DD2EC1">
      <w:pPr>
        <w:spacing w:before="0" w:after="0"/>
        <w:contextualSpacing/>
        <w:jc w:val="both"/>
      </w:pPr>
    </w:p>
    <w:p w:rsidR="00017D6E" w:rsidRPr="003F3282" w:rsidRDefault="00017D6E" w:rsidP="00DD2EC1">
      <w:pPr>
        <w:spacing w:before="0" w:after="0"/>
        <w:contextualSpacing/>
        <w:jc w:val="both"/>
      </w:pPr>
    </w:p>
    <w:p w:rsidR="00017D6E" w:rsidRDefault="00017D6E" w:rsidP="00DD2EC1">
      <w:pPr>
        <w:pStyle w:val="1"/>
        <w:spacing w:before="0" w:after="0"/>
        <w:contextualSpacing/>
        <w:jc w:val="both"/>
        <w:rPr>
          <w:b w:val="0"/>
          <w:sz w:val="20"/>
          <w:szCs w:val="20"/>
        </w:rPr>
      </w:pPr>
      <w:r w:rsidRPr="003F3282">
        <w:rPr>
          <w:sz w:val="20"/>
          <w:szCs w:val="20"/>
        </w:rPr>
        <w:br w:type="page"/>
      </w:r>
      <w:r w:rsidRPr="003F3282">
        <w:rPr>
          <w:sz w:val="20"/>
          <w:szCs w:val="20"/>
        </w:rPr>
        <w:lastRenderedPageBreak/>
        <w:t>Оглавление</w:t>
      </w:r>
      <w:r w:rsidR="00CD5BF0" w:rsidRPr="00F66880">
        <w:rPr>
          <w:b w:val="0"/>
          <w:sz w:val="20"/>
          <w:szCs w:val="20"/>
        </w:rPr>
        <w:t>……………………………………………………………………………………………………….</w:t>
      </w:r>
      <w:r w:rsidR="00F66880" w:rsidRPr="00F66880">
        <w:rPr>
          <w:b w:val="0"/>
          <w:sz w:val="20"/>
          <w:szCs w:val="20"/>
        </w:rPr>
        <w:t>2</w:t>
      </w:r>
    </w:p>
    <w:p w:rsidR="009757C0" w:rsidRPr="009757C0" w:rsidRDefault="009757C0" w:rsidP="009757C0">
      <w:r>
        <w:t>Введение…………………………………………………………………………………………………………...3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fldChar w:fldCharType="begin"/>
      </w:r>
      <w:r w:rsidRPr="00F66880">
        <w:instrText>TOC</w:instrText>
      </w:r>
      <w:r w:rsidRPr="00F66880">
        <w:fldChar w:fldCharType="separate"/>
      </w:r>
      <w:r w:rsidRPr="00F66880">
        <w:t>Раздел 1. Управленческий отчет эмитента</w:t>
      </w:r>
      <w:r w:rsidR="00CD5BF0" w:rsidRPr="00F66880">
        <w:t>………………………………………………………………………</w:t>
      </w:r>
      <w:r w:rsidR="009757C0">
        <w:t>3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1.1. Общие сведения об эмитенте и его деятельности</w:t>
      </w:r>
      <w:r w:rsidR="00CD5BF0" w:rsidRPr="00F66880">
        <w:t>…………………………………………………………..</w:t>
      </w:r>
      <w:r w:rsidR="009757C0">
        <w:t>3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1.2. Сведения о положении эмитента в отрасли</w:t>
      </w:r>
      <w:r w:rsidR="00CD5BF0" w:rsidRPr="00F66880">
        <w:t>…………………………………………………………………</w:t>
      </w:r>
      <w:r w:rsidR="009757C0">
        <w:t>4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1.3. Основные операционные показатели, характеризующие деятельность эмитента</w:t>
      </w:r>
      <w:r w:rsidR="00CD5BF0" w:rsidRPr="00F66880">
        <w:t>……………………….</w:t>
      </w:r>
      <w:r w:rsidR="009757C0">
        <w:t>5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1.4. Основные финансовые показатели эмитента</w:t>
      </w:r>
      <w:r w:rsidR="00CD5BF0" w:rsidRPr="00F66880">
        <w:t>………………………………………………………………</w:t>
      </w:r>
      <w:r w:rsidR="009757C0">
        <w:t>.5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1.5. Сведения об основных поставщиках эмитента</w:t>
      </w:r>
      <w:r w:rsidR="009757C0">
        <w:t>……………………………………………………………..7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1.6. Сведения об основных дебиторах эмитента</w:t>
      </w:r>
      <w:r w:rsidR="009757C0">
        <w:t>…………………………………………….…………………..7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1.7. Сведения об обязательствах эмитента</w:t>
      </w:r>
      <w:r w:rsidR="00CD5BF0" w:rsidRPr="00F66880">
        <w:t>………………………………………………………………………8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1.8. Сведения о перспективах развития эмитента</w:t>
      </w:r>
      <w:r w:rsidR="009757C0">
        <w:t>……………………………………………………………….8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1.9. Сведения о рисках, связанных с деятельностью эмитента</w:t>
      </w:r>
      <w:r w:rsidR="00CD5BF0" w:rsidRPr="00F66880">
        <w:t>………………………………………………...9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 w:rsidR="00CD5BF0" w:rsidRPr="00F66880">
        <w:t>……………………………………12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2.1. Информация о лицах, входящих в состав органов управления эмитента</w:t>
      </w:r>
      <w:r w:rsidR="00CD5BF0" w:rsidRPr="00F66880">
        <w:t>……………………………….12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 w:rsidR="00CD5BF0" w:rsidRPr="00F66880">
        <w:t>………………...12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 w:rsidR="00CD5BF0" w:rsidRPr="00F66880">
        <w:t>………………………………………………...</w:t>
      </w:r>
      <w:r w:rsidR="009757C0">
        <w:t>12</w:t>
      </w:r>
    </w:p>
    <w:p w:rsidR="00017D6E" w:rsidRPr="00F66880" w:rsidRDefault="00017D6E" w:rsidP="00CD5BF0">
      <w:pPr>
        <w:spacing w:before="0" w:after="0"/>
        <w:contextualSpacing/>
        <w:jc w:val="both"/>
      </w:pPr>
      <w:r w:rsidRPr="00F66880"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 w:rsidR="00CD5BF0" w:rsidRPr="00F66880">
        <w:t>…………………………………………………………………………………………………………….15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 w:rsidR="00CD5BF0" w:rsidRPr="00F66880">
        <w:t>………………………………………………………………………………………………………….15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 w:rsidR="00CD5BF0" w:rsidRPr="00F66880">
        <w:t>………………………….</w:t>
      </w:r>
      <w:r w:rsidR="00F66880" w:rsidRPr="00F66880">
        <w:t>16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3.1. Сведения об общем количестве акционеров (участников, членов) эмитента</w:t>
      </w:r>
      <w:r w:rsidR="00F66880" w:rsidRPr="00F66880">
        <w:t>…………………………...16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 w:rsidR="00F66880" w:rsidRPr="00F66880">
        <w:t>………………………………………………………………………………………….16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3.4. Сделки эмитента, в совершении которых имелась заинтересованность</w:t>
      </w:r>
      <w:r w:rsidR="00F66880" w:rsidRPr="00F66880">
        <w:t>………………………………...16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3.5. Крупные сделки эмитента</w:t>
      </w:r>
      <w:r w:rsidR="00F66880" w:rsidRPr="00F66880">
        <w:t>………</w:t>
      </w:r>
      <w:r w:rsidR="009757C0">
        <w:t>…………………………………………………………………………..16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Раздел 4. Дополнительные сведения об эмитенте и о размещенных им ценных бумагах</w:t>
      </w:r>
      <w:r w:rsidR="00F66880" w:rsidRPr="00F66880">
        <w:t>………………….17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4.1. Подконтрольные эмитенту организации, имеющие для него существенное значение</w:t>
      </w:r>
      <w:r w:rsidR="00F66880" w:rsidRPr="00F66880">
        <w:t>…………………17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4.2. 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r w:rsidR="00F66880" w:rsidRPr="00F66880">
        <w:t>………………………………………………..17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4.2(1). Дополнительные сведения, раскрываемые эмитентами инфраструктурных облигаций</w:t>
      </w:r>
      <w:r w:rsidR="00F66880" w:rsidRPr="00F66880">
        <w:t>…………….17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4.2(2).Дополнительные сведения, раскрываемые эмитентами облигаций, связанных с целями устойчивого развития</w:t>
      </w:r>
      <w:r w:rsidR="00F66880" w:rsidRPr="00F66880">
        <w:t>…………………………………………………………………………………………………………..17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4.2(3). Дополнительные сведения, раскрываемые эмитентами облигаций климатического перехода</w:t>
      </w:r>
      <w:r w:rsidR="00F66880" w:rsidRPr="00F66880">
        <w:t>…….17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 w:rsidR="00F66880" w:rsidRPr="00F66880">
        <w:t>…….17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4.4. Сведения об объявленных и выплаченных дивидендах по акциям эмитента</w:t>
      </w:r>
      <w:r w:rsidR="00F66880" w:rsidRPr="00F66880">
        <w:t>…………………………...18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4.5. Сведения об организациях, осуществляющих учет прав на эмиссионные ценные бумаги эмитента</w:t>
      </w:r>
      <w:r w:rsidR="00F66880" w:rsidRPr="00F66880">
        <w:t>…18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4.6. Информация об аудиторе эмитента</w:t>
      </w:r>
      <w:r w:rsidR="00F66880" w:rsidRPr="00F66880">
        <w:t>………………………………………………………………………...19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Раздел 5. Консолидированная финансовая отчетность (финансовая отчетность), бухгалтерская (финансовая) отчетность эмитента</w:t>
      </w:r>
      <w:r w:rsidR="00F66880" w:rsidRPr="00F66880">
        <w:t>……………………………………………………………………………..21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5.1. Консолидированная финансовая отчетность (финансовая отчетность) эмитента</w:t>
      </w:r>
      <w:r w:rsidR="00F66880" w:rsidRPr="00F66880">
        <w:t>……………………...21</w:t>
      </w:r>
    </w:p>
    <w:p w:rsidR="00017D6E" w:rsidRPr="00F66880" w:rsidRDefault="00017D6E" w:rsidP="00DD2EC1">
      <w:pPr>
        <w:spacing w:before="0" w:after="0"/>
        <w:contextualSpacing/>
        <w:jc w:val="both"/>
      </w:pPr>
      <w:r w:rsidRPr="00F66880">
        <w:t>5.2. Бухгалтерская (финансовая) отчетность</w:t>
      </w:r>
      <w:r w:rsidR="00F66880" w:rsidRPr="00F66880">
        <w:t>…………………………………………………………………..21</w:t>
      </w:r>
    </w:p>
    <w:p w:rsidR="00017D6E" w:rsidRDefault="00017D6E" w:rsidP="00A40B8F">
      <w:pPr>
        <w:pStyle w:val="1"/>
        <w:spacing w:before="0" w:after="0"/>
        <w:contextualSpacing/>
        <w:rPr>
          <w:sz w:val="20"/>
          <w:szCs w:val="20"/>
        </w:rPr>
      </w:pPr>
      <w:r w:rsidRPr="00F66880">
        <w:fldChar w:fldCharType="end"/>
      </w:r>
      <w:r w:rsidRPr="003F3282">
        <w:rPr>
          <w:sz w:val="20"/>
          <w:szCs w:val="20"/>
        </w:rPr>
        <w:br w:type="page"/>
      </w:r>
      <w:r w:rsidRPr="003F3282">
        <w:rPr>
          <w:sz w:val="20"/>
          <w:szCs w:val="20"/>
        </w:rPr>
        <w:lastRenderedPageBreak/>
        <w:t>Введение</w:t>
      </w:r>
    </w:p>
    <w:p w:rsidR="00A40B8F" w:rsidRPr="00A40B8F" w:rsidRDefault="00A40B8F" w:rsidP="00A40B8F"/>
    <w:p w:rsidR="00017D6E" w:rsidRPr="003F3282" w:rsidRDefault="00017D6E" w:rsidP="00DD2EC1">
      <w:pPr>
        <w:pStyle w:val="SubHeading"/>
        <w:spacing w:before="0" w:after="0"/>
        <w:contextualSpacing/>
        <w:jc w:val="both"/>
      </w:pPr>
      <w:r w:rsidRPr="003F3282">
        <w:t>Основания возникновения у эмитента обязанности осуществлять раскрытие информации в форме отчета эмитента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rPr>
          <w:rStyle w:val="Subst"/>
          <w:bCs/>
          <w:iCs/>
        </w:rPr>
        <w:t>В отношении ценных бумаг эмитента осуществлена регистрация проспекта ценных бумаг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rPr>
          <w:rStyle w:val="Subst"/>
          <w:bCs/>
          <w:iCs/>
        </w:rPr>
        <w:t>Эмитент является публичным акционерным обществом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t>Сведения об отчетности, которая (</w:t>
      </w:r>
      <w:proofErr w:type="gramStart"/>
      <w:r w:rsidRPr="003F3282">
        <w:t>ссылка</w:t>
      </w:r>
      <w:proofErr w:type="gramEnd"/>
      <w:r w:rsidRPr="003F3282">
        <w:t xml:space="preserve">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:rsidR="00017D6E" w:rsidRPr="003F3282" w:rsidRDefault="00017D6E" w:rsidP="00DD2EC1">
      <w:pPr>
        <w:spacing w:before="0" w:after="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В отчёте содержится ссылка на отчетность следующего вида: финансовая отчетность, на основании которой в отчете эмитента раскрывается информация о финансово-хозяйственной деятельности эмитента</w:t>
      </w:r>
    </w:p>
    <w:p w:rsidR="00017D6E" w:rsidRPr="003F3282" w:rsidRDefault="00017D6E" w:rsidP="00DD2EC1">
      <w:pPr>
        <w:spacing w:before="0" w:after="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В отчёте также содержится ссылка на бухгалтерскую (финансовую) отчётность, на основании которой в отчете эмитента раскрывается информация о финансово-хозяйственной деятельности эмитента в пунктах: 1.5, 1.6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t>Финансовая отчетность, на основании которой в настоящем отчете эмитента раскрыта информация о финансово-хозяйственной деятельности эмитента, дает объективное и 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достоверное представление о деятельности эмитента, а также об основных рисках, связанных с его деятельностью.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  <w:r w:rsidRPr="003F3282">
        <w:br/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:rsidR="00017D6E" w:rsidRPr="003F3282" w:rsidRDefault="00017D6E" w:rsidP="00DD2EC1">
      <w:pPr>
        <w:spacing w:before="0" w:after="0"/>
        <w:contextualSpacing/>
        <w:jc w:val="both"/>
      </w:pPr>
      <w:r w:rsidRPr="003F3282">
        <w:t>Иная информация, которая, по мнению эмитента, будет полезна для заинтересованных лиц при принятии ими экономических решений:</w:t>
      </w:r>
      <w:r w:rsidRPr="003F3282">
        <w:br/>
      </w:r>
      <w:r w:rsidRPr="003F3282">
        <w:rPr>
          <w:rStyle w:val="Subst"/>
          <w:bCs/>
          <w:iCs/>
        </w:rPr>
        <w:t>Эмитент не имеет подконтрольных организаций, входящих с ним в одну группу, в связи с чем в соответствии с Федеральным законом от 27.07.2010 № 208-ФЗ "О консолидированной финансовой отчетности" и Федеральным законом от 22.04.1996 №39-ФЗ "О рынке ценных бумаг" не обязан составлять сводную бухгалтерскую (консолидированную финансовую) отчетность.</w:t>
      </w:r>
    </w:p>
    <w:p w:rsidR="00D530CC" w:rsidRDefault="00D530CC" w:rsidP="00DD2EC1">
      <w:pPr>
        <w:pStyle w:val="1"/>
        <w:spacing w:before="0" w:after="0"/>
        <w:contextualSpacing/>
        <w:jc w:val="both"/>
        <w:rPr>
          <w:sz w:val="20"/>
          <w:szCs w:val="20"/>
        </w:rPr>
      </w:pPr>
    </w:p>
    <w:p w:rsidR="00017D6E" w:rsidRPr="003F3282" w:rsidRDefault="00017D6E" w:rsidP="00D530CC">
      <w:pPr>
        <w:pStyle w:val="1"/>
        <w:spacing w:before="0" w:after="0"/>
        <w:contextualSpacing/>
        <w:rPr>
          <w:sz w:val="20"/>
          <w:szCs w:val="20"/>
        </w:rPr>
      </w:pPr>
      <w:r w:rsidRPr="003F3282">
        <w:rPr>
          <w:sz w:val="20"/>
          <w:szCs w:val="20"/>
        </w:rPr>
        <w:t>Раздел 1. Управленческий отчет эмитента</w:t>
      </w:r>
    </w:p>
    <w:p w:rsidR="00D530CC" w:rsidRDefault="00D530CC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1.1. Общие сведения об эмитенте и его деятельности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Полное фирменное наименование эмитента:</w:t>
      </w:r>
      <w:r w:rsidRPr="003F3282">
        <w:rPr>
          <w:rStyle w:val="Subst"/>
          <w:bCs/>
          <w:iCs/>
        </w:rPr>
        <w:t xml:space="preserve"> Публичное акционерное общество "Туймазинский завод автобетоновозов"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Сокращенное фирменное наименование эмитента:</w:t>
      </w:r>
      <w:r w:rsidRPr="003F3282">
        <w:rPr>
          <w:rStyle w:val="Subst"/>
          <w:bCs/>
          <w:iCs/>
        </w:rPr>
        <w:t xml:space="preserve"> ПАО "ТЗА"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В уставе эмитента зарегистрировано наименование на иностранном языке</w:t>
      </w:r>
    </w:p>
    <w:p w:rsidR="002A42DC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Наименовани</w:t>
      </w:r>
      <w:r w:rsidR="002A42DC" w:rsidRPr="003F3282">
        <w:t>я эмитента на иностранном языке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Наименование эмитента на иностранном языке:</w:t>
      </w:r>
      <w:r w:rsidRPr="003F3282">
        <w:rPr>
          <w:rStyle w:val="Subst"/>
          <w:bCs/>
          <w:iCs/>
        </w:rPr>
        <w:t xml:space="preserve"> «</w:t>
      </w:r>
      <w:proofErr w:type="spellStart"/>
      <w:r w:rsidRPr="003F3282">
        <w:rPr>
          <w:rStyle w:val="Subst"/>
          <w:bCs/>
          <w:iCs/>
        </w:rPr>
        <w:t>Tuimazinskiy</w:t>
      </w:r>
      <w:proofErr w:type="spellEnd"/>
      <w:r w:rsidRPr="003F3282">
        <w:rPr>
          <w:rStyle w:val="Subst"/>
          <w:bCs/>
          <w:iCs/>
        </w:rPr>
        <w:t xml:space="preserve"> </w:t>
      </w:r>
      <w:proofErr w:type="spellStart"/>
      <w:r w:rsidRPr="003F3282">
        <w:rPr>
          <w:rStyle w:val="Subst"/>
          <w:bCs/>
          <w:iCs/>
        </w:rPr>
        <w:t>Zavod</w:t>
      </w:r>
      <w:proofErr w:type="spellEnd"/>
      <w:r w:rsidRPr="003F3282">
        <w:rPr>
          <w:rStyle w:val="Subst"/>
          <w:bCs/>
          <w:iCs/>
        </w:rPr>
        <w:t xml:space="preserve"> </w:t>
      </w:r>
      <w:proofErr w:type="spellStart"/>
      <w:r w:rsidRPr="003F3282">
        <w:rPr>
          <w:rStyle w:val="Subst"/>
          <w:bCs/>
          <w:iCs/>
        </w:rPr>
        <w:t>Avtobetonovozov</w:t>
      </w:r>
      <w:proofErr w:type="spellEnd"/>
      <w:r w:rsidRPr="003F3282">
        <w:rPr>
          <w:rStyle w:val="Subst"/>
          <w:bCs/>
          <w:iCs/>
        </w:rPr>
        <w:t xml:space="preserve">» </w:t>
      </w:r>
      <w:proofErr w:type="spellStart"/>
      <w:r w:rsidRPr="003F3282">
        <w:rPr>
          <w:rStyle w:val="Subst"/>
          <w:bCs/>
          <w:iCs/>
        </w:rPr>
        <w:t>Publicly</w:t>
      </w:r>
      <w:proofErr w:type="spellEnd"/>
      <w:r w:rsidRPr="003F3282">
        <w:rPr>
          <w:rStyle w:val="Subst"/>
          <w:bCs/>
          <w:iCs/>
        </w:rPr>
        <w:t xml:space="preserve"> </w:t>
      </w:r>
      <w:proofErr w:type="spellStart"/>
      <w:r w:rsidRPr="003F3282">
        <w:rPr>
          <w:rStyle w:val="Subst"/>
          <w:bCs/>
          <w:iCs/>
        </w:rPr>
        <w:t>Traded</w:t>
      </w:r>
      <w:proofErr w:type="spellEnd"/>
      <w:r w:rsidRPr="003F3282">
        <w:rPr>
          <w:rStyle w:val="Subst"/>
          <w:bCs/>
          <w:iCs/>
        </w:rPr>
        <w:t xml:space="preserve"> </w:t>
      </w:r>
      <w:proofErr w:type="spellStart"/>
      <w:r w:rsidRPr="003F3282">
        <w:rPr>
          <w:rStyle w:val="Subst"/>
          <w:bCs/>
          <w:iCs/>
        </w:rPr>
        <w:t>Company</w:t>
      </w:r>
      <w:proofErr w:type="spellEnd"/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Место нахождения эмитента:</w:t>
      </w:r>
      <w:r w:rsidRPr="003F3282">
        <w:rPr>
          <w:rStyle w:val="Subst"/>
          <w:bCs/>
          <w:iCs/>
        </w:rPr>
        <w:t xml:space="preserve"> 452755 Российская Федерация, Республика Башкортостан, </w:t>
      </w:r>
      <w:proofErr w:type="spellStart"/>
      <w:r w:rsidRPr="003F3282">
        <w:rPr>
          <w:rStyle w:val="Subst"/>
          <w:bCs/>
          <w:iCs/>
        </w:rPr>
        <w:t>г.Туймазы</w:t>
      </w:r>
      <w:proofErr w:type="spellEnd"/>
      <w:r w:rsidRPr="003F3282">
        <w:rPr>
          <w:rStyle w:val="Subst"/>
          <w:bCs/>
          <w:iCs/>
        </w:rPr>
        <w:t>, 70 лет Октября, 17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Адрес эмитента:</w:t>
      </w:r>
      <w:r w:rsidRPr="003F3282">
        <w:rPr>
          <w:rStyle w:val="Subst"/>
          <w:bCs/>
          <w:iCs/>
        </w:rPr>
        <w:t xml:space="preserve"> 452755 Российская Федерация, Республика Башкортостан, </w:t>
      </w:r>
      <w:proofErr w:type="spellStart"/>
      <w:r w:rsidRPr="003F3282">
        <w:rPr>
          <w:rStyle w:val="Subst"/>
          <w:bCs/>
          <w:iCs/>
        </w:rPr>
        <w:t>г.Туймазы</w:t>
      </w:r>
      <w:proofErr w:type="spellEnd"/>
      <w:r w:rsidRPr="003F3282">
        <w:rPr>
          <w:rStyle w:val="Subst"/>
          <w:bCs/>
          <w:iCs/>
        </w:rPr>
        <w:t>, 70 лет Октября, 17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Сведения о способе создания эмитента:</w:t>
      </w:r>
      <w:r w:rsidRPr="003F3282">
        <w:br/>
      </w:r>
      <w:r w:rsidRPr="003F3282">
        <w:rPr>
          <w:rStyle w:val="Subst"/>
          <w:bCs/>
          <w:iCs/>
        </w:rPr>
        <w:t>В 1973 году  Правительством страны и Министерством строительного, дорожного и  коммунального машиностроения СССР принято решение о строительстве завода автобетоновозов в г. Туймазы Башкирской АССР.</w:t>
      </w:r>
      <w:r w:rsidRPr="003F3282">
        <w:rPr>
          <w:rStyle w:val="Subst"/>
          <w:bCs/>
          <w:iCs/>
        </w:rPr>
        <w:br/>
        <w:t xml:space="preserve">Весной 1976 года в северо-западной части г. Туймазы развернулось строительство завода. Параллельно со строительством завода с целью ускорения создания и отработки конструкции строительных машин был создан Туймазинский опытно-экспериментальный завод. </w:t>
      </w:r>
      <w:r w:rsidRPr="003F3282">
        <w:rPr>
          <w:rStyle w:val="Subst"/>
          <w:bCs/>
          <w:iCs/>
        </w:rPr>
        <w:br/>
        <w:t xml:space="preserve">7 ноября 1977 года, на праздничной демонстрации, </w:t>
      </w:r>
      <w:proofErr w:type="spellStart"/>
      <w:r w:rsidRPr="003F3282">
        <w:rPr>
          <w:rStyle w:val="Subst"/>
          <w:bCs/>
          <w:iCs/>
        </w:rPr>
        <w:t>Туймазинские</w:t>
      </w:r>
      <w:proofErr w:type="spellEnd"/>
      <w:r w:rsidRPr="003F3282">
        <w:rPr>
          <w:rStyle w:val="Subst"/>
          <w:bCs/>
          <w:iCs/>
        </w:rPr>
        <w:t xml:space="preserve"> машиностроители смогли продемонстрировать первый </w:t>
      </w:r>
      <w:proofErr w:type="spellStart"/>
      <w:r w:rsidRPr="003F3282">
        <w:rPr>
          <w:rStyle w:val="Subst"/>
          <w:bCs/>
          <w:iCs/>
        </w:rPr>
        <w:t>автобетоновоз</w:t>
      </w:r>
      <w:proofErr w:type="spellEnd"/>
      <w:r w:rsidRPr="003F3282">
        <w:rPr>
          <w:rStyle w:val="Subst"/>
          <w:bCs/>
          <w:iCs/>
        </w:rPr>
        <w:t xml:space="preserve"> - СБ-113.</w:t>
      </w:r>
      <w:r w:rsidRPr="003F3282">
        <w:rPr>
          <w:rStyle w:val="Subst"/>
          <w:bCs/>
          <w:iCs/>
        </w:rPr>
        <w:br/>
        <w:t xml:space="preserve">Серьезные испытания на надежность машины прошли в 1986 году при ликвидации последствий чернобыльской аварии. </w:t>
      </w:r>
      <w:proofErr w:type="spellStart"/>
      <w:r w:rsidRPr="003F3282">
        <w:rPr>
          <w:rStyle w:val="Subst"/>
          <w:bCs/>
          <w:iCs/>
        </w:rPr>
        <w:t>Туймазинская</w:t>
      </w:r>
      <w:proofErr w:type="spellEnd"/>
      <w:r w:rsidRPr="003F3282">
        <w:rPr>
          <w:rStyle w:val="Subst"/>
          <w:bCs/>
          <w:iCs/>
        </w:rPr>
        <w:t xml:space="preserve"> техника достойно выдержала испытания и тем самым подтвердила свою марку. К 1990 году завод выходит на запроектированную мощность. </w:t>
      </w:r>
      <w:r w:rsidRPr="003F3282">
        <w:rPr>
          <w:rStyle w:val="Subst"/>
          <w:bCs/>
          <w:iCs/>
        </w:rPr>
        <w:br/>
        <w:t>В ноябре 1994 года завод реорганизован в открытое акционерное общество.</w:t>
      </w:r>
      <w:r w:rsidRPr="003F3282">
        <w:rPr>
          <w:rStyle w:val="Subst"/>
          <w:bCs/>
          <w:iCs/>
        </w:rPr>
        <w:br/>
        <w:t xml:space="preserve">Подтверждением достигнутых успехов и уверенной ориентации в новых условиях хозяйствования стало награждение завода престижными международными наградами: </w:t>
      </w:r>
      <w:r w:rsidRPr="003F3282">
        <w:rPr>
          <w:rStyle w:val="Subst"/>
          <w:bCs/>
          <w:iCs/>
        </w:rPr>
        <w:br/>
      </w:r>
      <w:r w:rsidRPr="003F3282">
        <w:rPr>
          <w:rStyle w:val="Subst"/>
          <w:bCs/>
          <w:iCs/>
        </w:rPr>
        <w:lastRenderedPageBreak/>
        <w:t>1.  1993 год “Аркой Золотой Звезды” за высокую репутацию и профессионализм.</w:t>
      </w:r>
      <w:r w:rsidRPr="003F3282">
        <w:rPr>
          <w:rStyle w:val="Subst"/>
          <w:bCs/>
          <w:iCs/>
        </w:rPr>
        <w:br/>
        <w:t xml:space="preserve">2.  1995 год “Факелом </w:t>
      </w:r>
      <w:proofErr w:type="spellStart"/>
      <w:r w:rsidRPr="003F3282">
        <w:rPr>
          <w:rStyle w:val="Subst"/>
          <w:bCs/>
          <w:iCs/>
        </w:rPr>
        <w:t>Бирменгама</w:t>
      </w:r>
      <w:proofErr w:type="spellEnd"/>
      <w:r w:rsidRPr="003F3282">
        <w:rPr>
          <w:rStyle w:val="Subst"/>
          <w:bCs/>
          <w:iCs/>
        </w:rPr>
        <w:t>” за успешное выживание в условиях рыночной экономики.</w:t>
      </w:r>
      <w:r w:rsidRPr="003F3282">
        <w:rPr>
          <w:rStyle w:val="Subst"/>
          <w:bCs/>
          <w:iCs/>
        </w:rPr>
        <w:br/>
        <w:t>Завод был создан в соответствии с планом приватизации арендного предприятия «Туймазинский завод автобетоновозов. Общей целью создания приватизированных предприятий было повышение эффективности экономической системы государства и переход от плановой экономики к рыночным отношениям.</w:t>
      </w:r>
      <w:r w:rsidRPr="003F3282">
        <w:rPr>
          <w:rStyle w:val="Subst"/>
          <w:bCs/>
          <w:iCs/>
        </w:rPr>
        <w:br/>
        <w:t xml:space="preserve">Начиная с 2004 года ПАО «ТЗА» участвует во Всероссийской Программе  «100 лучших товаров России», которому предшествовал  региональный  конкурс «Лучшие товары Башкортостана», 27 апреля 2007 года ПАО «ТЗА» награжден  Знаком Почета «Звезда Содружества» с вручением  Почетного Диплома лауреата Международной премии в номинации  «Лучшая компания СНГ». Предприятие награждалось Почетными грамотами Министерства внешнеэкономических связей и торговли РБ «За вклад в развитие внешнеторговых связей РБ, высокий профессионализм и достигнутые успехи при осуществлении экспортных операций». </w:t>
      </w:r>
      <w:r w:rsidRPr="003F3282">
        <w:rPr>
          <w:rStyle w:val="Subst"/>
          <w:bCs/>
          <w:iCs/>
        </w:rPr>
        <w:br/>
        <w:t xml:space="preserve">За 45 - летнюю историю успешной и стабильной работы предприятие завоевало широкую известность и репутацию надежного и привлекательного партнера. </w:t>
      </w:r>
      <w:r w:rsidRPr="003F3282">
        <w:rPr>
          <w:rStyle w:val="Subst"/>
          <w:bCs/>
          <w:iCs/>
        </w:rPr>
        <w:br/>
        <w:t>В результате проведённого ребрендинга товарной марки в 2007 году вся продукция выпускается под маркой «TZA/KAMAZ» в фирменных цветах: синий, оранжевый, белый. Автобетоносмесители имеют свою фирменную покраску «капелька».</w:t>
      </w:r>
      <w:r w:rsidRPr="003F3282">
        <w:rPr>
          <w:rStyle w:val="Subst"/>
          <w:bCs/>
          <w:iCs/>
        </w:rPr>
        <w:br/>
        <w:t>В соответствии с решением Общего собрания акционеров ОАО «ТЗА»  от 29 ноября 2016 года  (протокол №2(23)) в целях приведения  в соответствие с Гражданским кодексом Российской Федерации Общество переименовано  из Открытого акционерного общества «Туймазинский завод автобетоновозов» в Публичное акционерное общество «Туймазинский завод автобетоновозов».</w:t>
      </w:r>
      <w:r w:rsidRPr="003F3282">
        <w:rPr>
          <w:rStyle w:val="Subst"/>
          <w:bCs/>
          <w:iCs/>
        </w:rPr>
        <w:br/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Дата создания эмитента:</w:t>
      </w:r>
      <w:r w:rsidRPr="003F3282">
        <w:rPr>
          <w:rStyle w:val="Subst"/>
          <w:bCs/>
          <w:iCs/>
        </w:rPr>
        <w:t xml:space="preserve"> 28.01.1980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t>Наименования эмитента в течение трех последних лет, предшествующих дате окончания отчетного периода, за который составлен отчет эмитента, не изменялись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Реорганизации эмитента в течение трех последних лет, предшествующих дате окончания отчетного периода, за который составлен отчет эмитента, не осуществлялись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Основной государственный регистрационный номер (ОГРН):</w:t>
      </w:r>
      <w:r w:rsidRPr="003F3282">
        <w:rPr>
          <w:rStyle w:val="Subst"/>
          <w:bCs/>
          <w:iCs/>
        </w:rPr>
        <w:t xml:space="preserve"> 1020202210126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ИНН:</w:t>
      </w:r>
      <w:r w:rsidRPr="003F3282">
        <w:rPr>
          <w:rStyle w:val="Subst"/>
          <w:bCs/>
          <w:iCs/>
        </w:rPr>
        <w:t xml:space="preserve"> 0269008334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эмитента:</w:t>
      </w:r>
      <w:r w:rsidRPr="003F3282">
        <w:br/>
      </w:r>
      <w:r w:rsidRPr="003F3282">
        <w:rPr>
          <w:rStyle w:val="Subst"/>
          <w:bCs/>
          <w:iCs/>
        </w:rPr>
        <w:t>Основная специализация предприятия - производство и проектирование автобетоносмесителей, стационарных  и автобетононасосов, прицепной и полуприцепной техники. Основным рынком сбыта продукции ПАО «ТЗА» является Россия.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Иные ограничения, связанные с участием в уставном капитале эмитента, установленные его уставом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t>Ограничений на участие в уставном капитале эмитента нет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Иная информация отсутствует.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1.2. Сведения о положении эмитента в отрасли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Машиностроение —  это отрасль промышленности, уровень развития которой в значительной степени определяет техническую оснащенность всех отраслей экономики и обороноспособность страны.</w:t>
      </w:r>
      <w:r w:rsidRPr="003F3282">
        <w:rPr>
          <w:rStyle w:val="Subst"/>
          <w:bCs/>
          <w:iCs/>
        </w:rPr>
        <w:br/>
        <w:t>Машиностроение в России занимает ведущее положение среди отраслей промышленности.</w:t>
      </w:r>
      <w:r w:rsidRPr="003F3282">
        <w:rPr>
          <w:rStyle w:val="Subst"/>
          <w:bCs/>
          <w:iCs/>
        </w:rPr>
        <w:br/>
        <w:t xml:space="preserve">Машиностроительные предприятия —  это крупнейшие промышленные предприятия, эти производства являются капиталоемкими и трудоемкими, выпускаемая продукция сложна конструктивно и технологически, поэтому большую роль в этой сфере играют научно- исследовательские и опытно-конструкторские работы и квалификация персонала. </w:t>
      </w:r>
      <w:r w:rsidRPr="003F3282">
        <w:rPr>
          <w:rStyle w:val="Subst"/>
          <w:bCs/>
          <w:iCs/>
        </w:rPr>
        <w:br/>
        <w:t xml:space="preserve">Машиностроительный комплекс отличается широким развитием межотраслевых и внутриотраслевых связей, основанных в значительной мере на производственном кооперировании. Связи машиностроительного комплекса с другими межотраслевыми комплексами служат одним из важнейших условий функционирования экономики страны в целом. </w:t>
      </w:r>
      <w:r w:rsidRPr="003F3282">
        <w:rPr>
          <w:rStyle w:val="Subst"/>
          <w:bCs/>
          <w:iCs/>
        </w:rPr>
        <w:br/>
        <w:t xml:space="preserve">Различные темпы роста выпуска продукции обусловлены состоянием и динамикой соответствующих рынков и отраслей, для которых предназначена продукция машиностроительного комплекса. </w:t>
      </w:r>
      <w:r w:rsidRPr="003F3282">
        <w:rPr>
          <w:rStyle w:val="Subst"/>
          <w:bCs/>
          <w:iCs/>
        </w:rPr>
        <w:br/>
        <w:t xml:space="preserve">ПАО «ТЗА» -  автомобилестроительная компания, производитель </w:t>
      </w:r>
      <w:proofErr w:type="spellStart"/>
      <w:r w:rsidRPr="003F3282">
        <w:rPr>
          <w:rStyle w:val="Subst"/>
          <w:bCs/>
          <w:iCs/>
        </w:rPr>
        <w:t>бетонотранспортной</w:t>
      </w:r>
      <w:proofErr w:type="spellEnd"/>
      <w:r w:rsidRPr="003F3282">
        <w:rPr>
          <w:rStyle w:val="Subst"/>
          <w:bCs/>
          <w:iCs/>
        </w:rPr>
        <w:t xml:space="preserve"> и прицепной техники. Является единственным заводом-изготовителем в России, который </w:t>
      </w:r>
      <w:r w:rsidRPr="003F3282">
        <w:rPr>
          <w:rStyle w:val="Subst"/>
          <w:bCs/>
          <w:iCs/>
        </w:rPr>
        <w:lastRenderedPageBreak/>
        <w:t xml:space="preserve">выпускает бетононасосы по полному производственному циклу. </w:t>
      </w:r>
      <w:r w:rsidRPr="003F3282">
        <w:rPr>
          <w:rStyle w:val="Subst"/>
          <w:bCs/>
          <w:iCs/>
        </w:rPr>
        <w:br/>
        <w:t>Основная специализация предприятия -  производство и проектирование автобетоносмесителей, стационарных автобетононасосов, прицепной и полуприцепной техники.</w:t>
      </w:r>
    </w:p>
    <w:p w:rsidR="00F14704" w:rsidRPr="003F3282" w:rsidRDefault="00F14704" w:rsidP="00F14704">
      <w:pPr>
        <w:spacing w:after="0" w:line="20" w:lineRule="atLeast"/>
        <w:ind w:firstLine="567"/>
        <w:jc w:val="both"/>
        <w:rPr>
          <w:b/>
          <w:i/>
        </w:rPr>
      </w:pPr>
      <w:r w:rsidRPr="003F3282">
        <w:rPr>
          <w:b/>
          <w:i/>
        </w:rPr>
        <w:t>В 2024 году рынок автобетоносмесителей показал снижение. Темп снижения составил 25% по сравнению к АППГ, в количественном выражении рынок автобетоносмесителей составил 2368 ед. Из них доля автобетоносмесителей производства ПАО «ТЗА» составляла 16%, или 377 ед. Производители из Китая суммарно заняли долю на рынке около 71%.</w:t>
      </w:r>
    </w:p>
    <w:p w:rsidR="00F14704" w:rsidRPr="003F3282" w:rsidRDefault="00F14704" w:rsidP="00F14704">
      <w:pPr>
        <w:spacing w:after="0" w:line="20" w:lineRule="atLeast"/>
        <w:ind w:firstLine="567"/>
        <w:jc w:val="both"/>
        <w:rPr>
          <w:b/>
          <w:i/>
        </w:rPr>
      </w:pPr>
      <w:r w:rsidRPr="003F3282">
        <w:rPr>
          <w:b/>
          <w:i/>
        </w:rPr>
        <w:t xml:space="preserve">Рынок бортовых полуприцепов в РФ в 2024 году составил 4281 ед., что на 21% меньше по сравнению с АППГ. Доля </w:t>
      </w:r>
      <w:r w:rsidR="006C44FC" w:rsidRPr="003F3282">
        <w:rPr>
          <w:b/>
          <w:i/>
        </w:rPr>
        <w:t>ПАО «</w:t>
      </w:r>
      <w:r w:rsidRPr="003F3282">
        <w:rPr>
          <w:b/>
          <w:i/>
        </w:rPr>
        <w:t>ТЗА</w:t>
      </w:r>
      <w:r w:rsidR="006C44FC" w:rsidRPr="003F3282">
        <w:rPr>
          <w:b/>
          <w:i/>
        </w:rPr>
        <w:t>»</w:t>
      </w:r>
      <w:r w:rsidRPr="003F3282">
        <w:rPr>
          <w:b/>
          <w:i/>
        </w:rPr>
        <w:t xml:space="preserve"> в 2024 году составила 35%, или 1495 ед. Наиболее популярные модели ПАО «ТЗА» – это ТЗА 588521 и ТЗА 588513.</w:t>
      </w:r>
    </w:p>
    <w:p w:rsidR="00F14704" w:rsidRPr="003F3282" w:rsidRDefault="00F14704" w:rsidP="00F14704">
      <w:pPr>
        <w:spacing w:after="0" w:line="20" w:lineRule="atLeast"/>
        <w:ind w:firstLine="567"/>
        <w:jc w:val="both"/>
        <w:rPr>
          <w:b/>
          <w:i/>
        </w:rPr>
      </w:pPr>
      <w:r w:rsidRPr="003F3282">
        <w:rPr>
          <w:b/>
          <w:i/>
        </w:rPr>
        <w:t>Рынок шторных полуприцепов в РФ один из самых ёмких. Общий объём рынка в 2024 году составил 18759 ед. Доля</w:t>
      </w:r>
      <w:r w:rsidR="006C44FC" w:rsidRPr="003F3282">
        <w:rPr>
          <w:b/>
          <w:i/>
        </w:rPr>
        <w:t xml:space="preserve"> ПАО</w:t>
      </w:r>
      <w:r w:rsidRPr="003F3282">
        <w:rPr>
          <w:b/>
          <w:i/>
        </w:rPr>
        <w:t xml:space="preserve"> </w:t>
      </w:r>
      <w:r w:rsidR="006C44FC" w:rsidRPr="003F3282">
        <w:rPr>
          <w:b/>
          <w:i/>
        </w:rPr>
        <w:t>«</w:t>
      </w:r>
      <w:r w:rsidRPr="003F3282">
        <w:rPr>
          <w:b/>
          <w:i/>
        </w:rPr>
        <w:t>ТЗА</w:t>
      </w:r>
      <w:r w:rsidR="006C44FC" w:rsidRPr="003F3282">
        <w:rPr>
          <w:b/>
          <w:i/>
        </w:rPr>
        <w:t>»</w:t>
      </w:r>
      <w:r w:rsidRPr="003F3282">
        <w:rPr>
          <w:b/>
          <w:i/>
        </w:rPr>
        <w:t xml:space="preserve"> - 3%, или 627 ед.</w:t>
      </w:r>
    </w:p>
    <w:p w:rsidR="00F14704" w:rsidRPr="003F3282" w:rsidRDefault="00F14704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1.3. Основные операционные показатели, характеризующие деятельность эмитента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Операционные показатели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32"/>
        <w:gridCol w:w="1820"/>
        <w:gridCol w:w="1820"/>
        <w:gridCol w:w="1880"/>
      </w:tblGrid>
      <w:tr w:rsidR="00543E5B" w:rsidRPr="003F3282" w:rsidTr="00B82B2A">
        <w:tc>
          <w:tcPr>
            <w:tcW w:w="37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Единица измерения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2023, 12 мес.</w:t>
            </w:r>
          </w:p>
        </w:tc>
        <w:tc>
          <w:tcPr>
            <w:tcW w:w="18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Выпуск продукции (29.10.5 – Производство автомобилей специального назначения – автобетоносмесители, автобетононасосы, бетононасосы)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proofErr w:type="spellStart"/>
            <w:proofErr w:type="gramStart"/>
            <w:r w:rsidRPr="003F3282">
              <w:t>тыс.руб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1 204 825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772 006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Выпуск продукции в натуральном выражении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шт.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939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593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Объем выручки от продаж (объем продаж по данному виду 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proofErr w:type="spellStart"/>
            <w:r w:rsidRPr="003F3282">
              <w:t>тыс.руб</w:t>
            </w:r>
            <w:proofErr w:type="spellEnd"/>
            <w:r w:rsidRPr="003F3282"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1 213 704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771 904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Доля выручки от продаж (объема продаж) по данному виду хозяйственной деятельности в общем объеме выручки от продаж (объеме продаж) эмитента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%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11.1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7,1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 xml:space="preserve">Выпуск продукции (29.20 – </w:t>
            </w:r>
            <w:bookmarkStart w:id="0" w:name="_GoBack"/>
            <w:r w:rsidRPr="003F3282">
              <w:t>Производство кузовов для автотранспортных средств; производство прицепов и полуприцепов</w:t>
            </w:r>
            <w:bookmarkEnd w:id="0"/>
            <w:r w:rsidRPr="003F3282">
              <w:t>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proofErr w:type="spellStart"/>
            <w:r w:rsidRPr="003F3282">
              <w:t>тыс.руб</w:t>
            </w:r>
            <w:proofErr w:type="spellEnd"/>
            <w:r w:rsidRPr="003F3282"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6 156 261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7 705 982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Выпуск продукции в натуральном выражении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шт.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3 118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3 377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Объем выручки от продаж (объем продаж по данному виду хозяйственной деятельности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proofErr w:type="spellStart"/>
            <w:r w:rsidRPr="003F3282">
              <w:t>тыс.руб</w:t>
            </w:r>
            <w:proofErr w:type="spellEnd"/>
            <w:r w:rsidRPr="003F3282"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6 163 631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7 650 798</w:t>
            </w:r>
          </w:p>
        </w:tc>
      </w:tr>
      <w:tr w:rsidR="00543E5B" w:rsidRPr="003F3282" w:rsidTr="00B82B2A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Доля выручки от продаж (объема продаж) по данному виду хозяйственной деятельности в общем объеме выручки от продаж (объеме продаж) эмитента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%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56.5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70,2</w:t>
            </w:r>
          </w:p>
        </w:tc>
      </w:tr>
    </w:tbl>
    <w:p w:rsidR="00543E5B" w:rsidRDefault="00543E5B" w:rsidP="00DD2EC1">
      <w:pPr>
        <w:spacing w:before="0" w:after="0"/>
        <w:ind w:left="200"/>
        <w:contextualSpacing/>
        <w:jc w:val="both"/>
        <w:rPr>
          <w:rStyle w:val="Subst"/>
        </w:rPr>
      </w:pPr>
      <w:r w:rsidRPr="003F3282">
        <w:rPr>
          <w:rStyle w:val="Subst"/>
          <w:b w:val="0"/>
        </w:rPr>
        <w:t xml:space="preserve">Объем продаж </w:t>
      </w:r>
      <w:proofErr w:type="spellStart"/>
      <w:r w:rsidRPr="003F3282">
        <w:rPr>
          <w:rStyle w:val="Subst"/>
          <w:b w:val="0"/>
        </w:rPr>
        <w:t>бетонотранспортной</w:t>
      </w:r>
      <w:proofErr w:type="spellEnd"/>
      <w:r w:rsidRPr="003F3282">
        <w:rPr>
          <w:rStyle w:val="Subst"/>
          <w:b w:val="0"/>
        </w:rPr>
        <w:t xml:space="preserve"> техники за 12 мес. 2024 года по сравнению с аналогичным периодом прошлого года снизился на 36,4%. Доля выручки от продаж по данному виду хозяйственной деятельности в общем объеме выручки составила 7,1%. По прицепной технике объем продаж за 12 мес. 2024 года по сравнению с аналогичным периодом прошлого года увеличился на25,2%. Доля выручки от продаж по данному виду хозяйственной деятельности в общем объеме выручки составила 70,2%</w:t>
      </w:r>
      <w:r w:rsidRPr="003F3282">
        <w:rPr>
          <w:rStyle w:val="Subst"/>
        </w:rPr>
        <w:t>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1.4. Основные финансовые показатели эмитента</w:t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 xml:space="preserve">1.4.1. </w:t>
      </w:r>
      <w:r w:rsidR="00087704" w:rsidRPr="003F3282">
        <w:rPr>
          <w:sz w:val="20"/>
          <w:szCs w:val="20"/>
        </w:rPr>
        <w:t>Финансовые</w:t>
      </w:r>
      <w:r w:rsidR="00087704">
        <w:rPr>
          <w:sz w:val="20"/>
          <w:szCs w:val="20"/>
        </w:rPr>
        <w:t xml:space="preserve"> </w:t>
      </w:r>
      <w:r w:rsidR="00087704" w:rsidRPr="003F3282">
        <w:rPr>
          <w:sz w:val="20"/>
          <w:szCs w:val="20"/>
        </w:rPr>
        <w:t>показатели,</w:t>
      </w:r>
      <w:r w:rsidRPr="003F3282">
        <w:rPr>
          <w:sz w:val="20"/>
          <w:szCs w:val="20"/>
        </w:rPr>
        <w:t xml:space="preserve"> рассчитываемые на основе консолидированной финансовой отчетности (финансовой отчетности)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3420"/>
        <w:gridCol w:w="2560"/>
        <w:gridCol w:w="2580"/>
      </w:tblGrid>
      <w:tr w:rsidR="00543E5B" w:rsidRPr="003F3282" w:rsidTr="00BE392C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2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2023, 12 мес.</w:t>
            </w:r>
          </w:p>
        </w:tc>
        <w:tc>
          <w:tcPr>
            <w:tcW w:w="25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Выручка,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10 903 156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13 147 404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Прибыль до вычета расходов по выплате процентов, налогов, износа основных средств и амортизации нематериальных активов (EBITDA),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658 627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633 991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 xml:space="preserve">Рентабельность по EBITDA (EBITDA </w:t>
            </w:r>
            <w:proofErr w:type="spellStart"/>
            <w:r w:rsidRPr="003F3282">
              <w:lastRenderedPageBreak/>
              <w:t>margin</w:t>
            </w:r>
            <w:proofErr w:type="spellEnd"/>
            <w:r w:rsidRPr="003F3282">
              <w:t>), %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lastRenderedPageBreak/>
              <w:t>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4.8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Чистая прибыль (убыток),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493 622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456 577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Чистые денежные средства, полученные от операционной деятельности,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-163 384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1 088 120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Расходы на приобретение основных средств и нематериальных активов (капитальные затраты),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32 729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70 025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Свободный денежный поток,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-196 113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1 018 095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Чистый долг,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376 398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-512 738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Отношение чистого долга к EBITDA за последние 12 месяцев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0.6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-0.8</w:t>
            </w:r>
          </w:p>
        </w:tc>
      </w:tr>
      <w:tr w:rsidR="00543E5B" w:rsidRPr="003F3282" w:rsidTr="00BE392C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Рентабельность капитала (ROE), %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57.5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34.2</w:t>
            </w:r>
          </w:p>
        </w:tc>
      </w:tr>
    </w:tbl>
    <w:p w:rsidR="00543E5B" w:rsidRPr="003F3282" w:rsidRDefault="00543E5B" w:rsidP="00DD2EC1">
      <w:pPr>
        <w:spacing w:before="0" w:after="0"/>
        <w:ind w:left="200"/>
        <w:contextualSpacing/>
        <w:jc w:val="both"/>
      </w:pPr>
      <w:r w:rsidRPr="003F3282">
        <w:t>Статьи консолидированной финансовой отчетности (финансовой отчетности), на основе которых рассчитан показатель "Чистый долг":</w:t>
      </w:r>
      <w:r w:rsidRPr="003F3282">
        <w:br/>
      </w:r>
      <w:r w:rsidRPr="003F3282">
        <w:rPr>
          <w:rStyle w:val="Subst"/>
        </w:rPr>
        <w:t xml:space="preserve">Краткосрочные кредиты и займы, долгосрочные кредиты и займы, обязательства по аренде, денежные средства и </w:t>
      </w:r>
      <w:proofErr w:type="gramStart"/>
      <w:r w:rsidRPr="003F3282">
        <w:rPr>
          <w:rStyle w:val="Subst"/>
        </w:rPr>
        <w:t>эквиваленты</w:t>
      </w:r>
      <w:proofErr w:type="gramEnd"/>
      <w:r w:rsidRPr="003F3282">
        <w:rPr>
          <w:rStyle w:val="Subst"/>
        </w:rPr>
        <w:t xml:space="preserve"> и срочные депозиты</w:t>
      </w:r>
    </w:p>
    <w:p w:rsidR="00543E5B" w:rsidRPr="003F3282" w:rsidRDefault="00543E5B" w:rsidP="00DD2EC1">
      <w:pPr>
        <w:spacing w:before="0" w:after="0"/>
        <w:ind w:left="200"/>
        <w:contextualSpacing/>
        <w:jc w:val="both"/>
      </w:pPr>
      <w:r w:rsidRPr="003F3282">
        <w:t>Статьи консолидированной финансовой (финансовой) отчётности, на основе которых рассчитан показатель  EBITDA или OIBDA:</w:t>
      </w:r>
      <w:r w:rsidRPr="003F3282">
        <w:br/>
      </w:r>
      <w:r w:rsidRPr="003F3282">
        <w:rPr>
          <w:rStyle w:val="Subst"/>
        </w:rPr>
        <w:t>Прибыль (убыток) до налога на прибыль, амортизация, расходы по выплате процентов.</w:t>
      </w:r>
    </w:p>
    <w:p w:rsidR="00543E5B" w:rsidRPr="002D55BB" w:rsidRDefault="00543E5B" w:rsidP="002D55BB">
      <w:pPr>
        <w:spacing w:before="0" w:after="0"/>
        <w:ind w:left="200"/>
        <w:contextualSpacing/>
        <w:jc w:val="both"/>
        <w:rPr>
          <w:rStyle w:val="Subst"/>
          <w:b w:val="0"/>
          <w:i w:val="0"/>
        </w:rPr>
      </w:pPr>
      <w:r w:rsidRPr="003F3282">
        <w:rPr>
          <w:rStyle w:val="Subst"/>
        </w:rPr>
        <w:t>Для расчета части показатели эмитентом применена иная методика их расчета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3420"/>
        <w:gridCol w:w="2560"/>
        <w:gridCol w:w="2580"/>
      </w:tblGrid>
      <w:tr w:rsidR="00543E5B" w:rsidRPr="003F3282" w:rsidTr="00B82B2A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2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2023, 12 мес.</w:t>
            </w:r>
          </w:p>
        </w:tc>
        <w:tc>
          <w:tcPr>
            <w:tcW w:w="25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543E5B" w:rsidRPr="003F3282" w:rsidTr="00B82B2A">
        <w:tc>
          <w:tcPr>
            <w:tcW w:w="925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>Дополнительная расшифровка статей, которые участвуют в расчете показателя «Чистый долг»:</w:t>
            </w: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>Краткосрочные кредиты и займы, тыс.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319 000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  <w:p w:rsidR="00543E5B" w:rsidRPr="003F3282" w:rsidRDefault="00543E5B" w:rsidP="00DD2EC1">
            <w:pPr>
              <w:spacing w:before="0" w:after="0"/>
              <w:contextualSpacing/>
              <w:jc w:val="both"/>
            </w:pP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>Долгосрочные кредиты и займы, тыс.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 xml:space="preserve">Обязательства по аренде, тыс. </w:t>
            </w:r>
            <w:proofErr w:type="spellStart"/>
            <w:r w:rsidRPr="003F3282">
              <w:t>руб</w:t>
            </w:r>
            <w:proofErr w:type="spellEnd"/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58 210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101 419</w:t>
            </w: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 xml:space="preserve">Денежные средства и </w:t>
            </w:r>
            <w:proofErr w:type="gramStart"/>
            <w:r w:rsidRPr="003F3282">
              <w:rPr>
                <w:rStyle w:val="Subst"/>
                <w:b w:val="0"/>
                <w:i w:val="0"/>
              </w:rPr>
              <w:t>эквиваленты</w:t>
            </w:r>
            <w:proofErr w:type="gramEnd"/>
            <w:r w:rsidRPr="003F3282">
              <w:rPr>
                <w:rStyle w:val="Subst"/>
                <w:b w:val="0"/>
                <w:i w:val="0"/>
              </w:rPr>
              <w:t xml:space="preserve"> и срочные депозиты, тыс.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812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614 157</w:t>
            </w: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087704" w:rsidP="00DD2EC1">
            <w:pPr>
              <w:spacing w:before="0" w:after="0"/>
              <w:contextualSpacing/>
              <w:jc w:val="both"/>
            </w:pPr>
            <w: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>Операционная прибыль, тыс. руб.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598 052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551 962</w:t>
            </w:r>
          </w:p>
        </w:tc>
      </w:tr>
      <w:tr w:rsidR="00543E5B" w:rsidRPr="003F3282" w:rsidTr="00B82B2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087704" w:rsidP="00DD2EC1">
            <w:pPr>
              <w:spacing w:before="0" w:after="0"/>
              <w:contextualSpacing/>
              <w:jc w:val="both"/>
            </w:pPr>
            <w: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b/>
                <w:i/>
              </w:rPr>
            </w:pPr>
            <w:r w:rsidRPr="003F3282">
              <w:rPr>
                <w:rStyle w:val="Subst"/>
                <w:b w:val="0"/>
                <w:i w:val="0"/>
              </w:rPr>
              <w:t>Амортизация, тыс. руб.</w:t>
            </w:r>
            <w:r w:rsidRPr="003F3282">
              <w:rPr>
                <w:rStyle w:val="Subst"/>
                <w:b w:val="0"/>
                <w:i w:val="0"/>
              </w:rPr>
              <w:tab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39 742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63 155</w:t>
            </w:r>
          </w:p>
        </w:tc>
      </w:tr>
    </w:tbl>
    <w:p w:rsidR="00087704" w:rsidRPr="00FF5D35" w:rsidRDefault="00087704" w:rsidP="00087704">
      <w:pPr>
        <w:pStyle w:val="2"/>
        <w:rPr>
          <w:sz w:val="20"/>
          <w:szCs w:val="20"/>
        </w:rPr>
      </w:pPr>
      <w:r w:rsidRPr="00FF5D35">
        <w:rPr>
          <w:sz w:val="20"/>
          <w:szCs w:val="20"/>
        </w:rPr>
        <w:t>1.4.2. Финансовые показатели, рассчитываемые на основе бухгалтерской (финансовой) отчетности</w:t>
      </w:r>
    </w:p>
    <w:p w:rsidR="00087704" w:rsidRPr="00FF5D35" w:rsidRDefault="00087704" w:rsidP="00087704">
      <w:pPr>
        <w:ind w:left="200"/>
      </w:pPr>
      <w:r w:rsidRPr="00FF5D35">
        <w:t>Эмитент, составляет и раскрывает консолидированную финансовую отчетность (финансовую отчетность)</w:t>
      </w:r>
    </w:p>
    <w:p w:rsidR="00087704" w:rsidRPr="00FF5D35" w:rsidRDefault="00087704" w:rsidP="00087704">
      <w:pPr>
        <w:pStyle w:val="2"/>
        <w:rPr>
          <w:sz w:val="20"/>
          <w:szCs w:val="20"/>
        </w:rPr>
      </w:pPr>
      <w:r w:rsidRPr="00FF5D35">
        <w:rPr>
          <w:sz w:val="20"/>
          <w:szCs w:val="20"/>
        </w:rPr>
        <w:t>1.4.3. Финансовые показатели кредитной организации</w:t>
      </w:r>
    </w:p>
    <w:p w:rsidR="00087704" w:rsidRDefault="00087704" w:rsidP="00087704">
      <w:pPr>
        <w:spacing w:before="0" w:after="0"/>
        <w:contextualSpacing/>
        <w:jc w:val="both"/>
        <w:outlineLvl w:val="1"/>
      </w:pPr>
      <w:r w:rsidRPr="00FF5D35">
        <w:t>Эмитент не является кредитной организацией</w:t>
      </w:r>
    </w:p>
    <w:p w:rsidR="00543E5B" w:rsidRPr="00087704" w:rsidRDefault="00543E5B" w:rsidP="00087704">
      <w:pPr>
        <w:spacing w:before="0" w:after="0"/>
        <w:contextualSpacing/>
        <w:jc w:val="both"/>
        <w:outlineLvl w:val="1"/>
        <w:rPr>
          <w:b/>
        </w:rPr>
      </w:pPr>
      <w:r w:rsidRPr="003F3282">
        <w:rPr>
          <w:rStyle w:val="Subst"/>
          <w:highlight w:val="yellow"/>
        </w:rPr>
        <w:br/>
      </w:r>
      <w:r w:rsidRPr="00087704">
        <w:rPr>
          <w:b/>
        </w:rPr>
        <w:t>1.4.4. Иные финансовые показатели</w:t>
      </w: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32"/>
        <w:gridCol w:w="1820"/>
        <w:gridCol w:w="1820"/>
        <w:gridCol w:w="1880"/>
      </w:tblGrid>
      <w:tr w:rsidR="00543E5B" w:rsidRPr="003F3282" w:rsidTr="00087704">
        <w:tc>
          <w:tcPr>
            <w:tcW w:w="37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Единица измерения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2023, 12 мес.</w:t>
            </w:r>
          </w:p>
        </w:tc>
        <w:tc>
          <w:tcPr>
            <w:tcW w:w="18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543E5B" w:rsidRPr="003F3282" w:rsidTr="00087704">
        <w:tc>
          <w:tcPr>
            <w:tcW w:w="925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Дополнительная расшифровка статей, которые участвуют в расчете показателя рентабельности капитала (ROE):</w:t>
            </w:r>
          </w:p>
        </w:tc>
      </w:tr>
      <w:tr w:rsidR="00543E5B" w:rsidRPr="003F3282" w:rsidTr="00087704">
        <w:tc>
          <w:tcPr>
            <w:tcW w:w="37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Капитал (средний за период)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proofErr w:type="spellStart"/>
            <w:r w:rsidRPr="003F3282">
              <w:t>тыс.руб</w:t>
            </w:r>
            <w:proofErr w:type="spellEnd"/>
            <w:r w:rsidRPr="003F3282"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</w:pPr>
            <w:r w:rsidRPr="003F3282">
              <w:t>858 236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43E5B" w:rsidRPr="003F3282" w:rsidRDefault="00543E5B" w:rsidP="00DD2EC1">
            <w:pPr>
              <w:spacing w:before="0" w:after="0"/>
              <w:contextualSpacing/>
              <w:jc w:val="both"/>
              <w:rPr>
                <w:lang w:val="en-US"/>
              </w:rPr>
            </w:pPr>
            <w:r w:rsidRPr="003F3282">
              <w:rPr>
                <w:lang w:val="en-US"/>
              </w:rPr>
              <w:t>1 333 336</w:t>
            </w:r>
          </w:p>
        </w:tc>
      </w:tr>
    </w:tbl>
    <w:p w:rsidR="00543E5B" w:rsidRDefault="00543E5B" w:rsidP="00DD2EC1">
      <w:pPr>
        <w:spacing w:before="0" w:after="0"/>
        <w:ind w:left="200"/>
        <w:contextualSpacing/>
        <w:jc w:val="both"/>
        <w:rPr>
          <w:rStyle w:val="Subst"/>
        </w:rPr>
      </w:pPr>
      <w:r w:rsidRPr="003F3282">
        <w:t>Методика расчета иных финансовых показателей:</w:t>
      </w:r>
      <w:r w:rsidRPr="003F3282">
        <w:br/>
      </w:r>
      <w:r w:rsidRPr="003F3282">
        <w:rPr>
          <w:rStyle w:val="Subst"/>
        </w:rPr>
        <w:t>Средний размер капитала за период рассчитывается как сумма остатков на начало и конец периода деленная на два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1.4.5. Анализ динамики изменения финансовых показателей, приведенных в подпунктах 1.4.1 - 1.4.4 настоящего пункта</w:t>
      </w:r>
    </w:p>
    <w:p w:rsidR="00543E5B" w:rsidRPr="003F3282" w:rsidRDefault="00543E5B" w:rsidP="00DD2EC1">
      <w:pPr>
        <w:pStyle w:val="2"/>
        <w:spacing w:before="0" w:after="0"/>
        <w:contextualSpacing/>
        <w:jc w:val="both"/>
        <w:rPr>
          <w:rStyle w:val="Subst"/>
          <w:bCs w:val="0"/>
          <w:i w:val="0"/>
          <w:iCs/>
          <w:sz w:val="20"/>
          <w:szCs w:val="20"/>
        </w:rPr>
      </w:pPr>
      <w:r w:rsidRPr="003F3282">
        <w:rPr>
          <w:rStyle w:val="Subst"/>
          <w:i w:val="0"/>
          <w:sz w:val="20"/>
          <w:szCs w:val="20"/>
        </w:rPr>
        <w:t>Выручка</w:t>
      </w:r>
      <w:r w:rsidRPr="003F3282">
        <w:rPr>
          <w:rStyle w:val="Subst"/>
          <w:sz w:val="20"/>
          <w:szCs w:val="20"/>
        </w:rPr>
        <w:br/>
      </w:r>
      <w:r w:rsidRPr="003F3282">
        <w:rPr>
          <w:rStyle w:val="Subst"/>
          <w:i w:val="0"/>
          <w:sz w:val="20"/>
          <w:szCs w:val="20"/>
        </w:rPr>
        <w:t>По итогам 12 мес. 2024 года выручка выросла на 20,6% по сравнению с прошлым периодом и составила 13 147 404 тыс. руб. (2023 год – 10 903 156 тыс. руб.).  Существенные темпы роста выручки обусловлены увеличением продаж прицепной техники.</w:t>
      </w:r>
      <w:r w:rsidRPr="003F3282">
        <w:rPr>
          <w:rStyle w:val="Subst"/>
          <w:i w:val="0"/>
          <w:sz w:val="20"/>
          <w:szCs w:val="20"/>
        </w:rPr>
        <w:br/>
        <w:t xml:space="preserve">EBITDA (EBITDA </w:t>
      </w:r>
      <w:proofErr w:type="spellStart"/>
      <w:r w:rsidRPr="003F3282">
        <w:rPr>
          <w:rStyle w:val="Subst"/>
          <w:i w:val="0"/>
          <w:sz w:val="20"/>
          <w:szCs w:val="20"/>
        </w:rPr>
        <w:t>margin</w:t>
      </w:r>
      <w:proofErr w:type="spellEnd"/>
      <w:r w:rsidRPr="003F3282">
        <w:rPr>
          <w:rStyle w:val="Subst"/>
          <w:i w:val="0"/>
          <w:sz w:val="20"/>
          <w:szCs w:val="20"/>
        </w:rPr>
        <w:t>)</w:t>
      </w:r>
      <w:r w:rsidRPr="003F3282">
        <w:rPr>
          <w:rStyle w:val="Subst"/>
          <w:i w:val="0"/>
          <w:sz w:val="20"/>
          <w:szCs w:val="20"/>
        </w:rPr>
        <w:br/>
        <w:t>Показатель EBITDA за 12 мес. 2025 года  снизился на 3,% по сравнению с аналогичным периодом прошлого года и составил 633 991 тыс. руб. Рентабельность EBITDA снизилась на 1,2% и составила 4,8% (2023г: 6,0%).</w:t>
      </w:r>
      <w:r w:rsidRPr="003F3282">
        <w:rPr>
          <w:rStyle w:val="Subst"/>
          <w:i w:val="0"/>
          <w:sz w:val="20"/>
          <w:szCs w:val="20"/>
        </w:rPr>
        <w:br/>
      </w:r>
      <w:r w:rsidRPr="003F3282">
        <w:rPr>
          <w:rStyle w:val="Subst"/>
          <w:i w:val="0"/>
          <w:sz w:val="20"/>
          <w:szCs w:val="20"/>
        </w:rPr>
        <w:lastRenderedPageBreak/>
        <w:t>Чистая прибыль</w:t>
      </w:r>
      <w:r w:rsidRPr="003F3282">
        <w:rPr>
          <w:rStyle w:val="Subst"/>
          <w:i w:val="0"/>
          <w:sz w:val="20"/>
          <w:szCs w:val="20"/>
        </w:rPr>
        <w:br/>
        <w:t>За 12 мес. 2024 года получена чистая прибыль в размере 456 577 тыс. руб. (2023г: 493 622 тыс. руб.).</w:t>
      </w:r>
      <w:r w:rsidRPr="003F3282">
        <w:rPr>
          <w:rStyle w:val="Subst"/>
          <w:i w:val="0"/>
          <w:sz w:val="20"/>
          <w:szCs w:val="20"/>
        </w:rPr>
        <w:br/>
        <w:t>Снижение прибыли по сравнению с прошлым периодом произошло за счет изменения структуры реализуемой продукции.</w:t>
      </w:r>
    </w:p>
    <w:p w:rsidR="00543E5B" w:rsidRPr="003F3282" w:rsidRDefault="00543E5B" w:rsidP="00DD2EC1">
      <w:pPr>
        <w:pStyle w:val="2"/>
        <w:spacing w:before="0" w:after="0"/>
        <w:contextualSpacing/>
        <w:jc w:val="both"/>
        <w:rPr>
          <w:color w:val="333333"/>
          <w:sz w:val="20"/>
          <w:szCs w:val="20"/>
        </w:rPr>
      </w:pPr>
      <w:r w:rsidRPr="003F3282">
        <w:rPr>
          <w:rStyle w:val="Subst"/>
          <w:i w:val="0"/>
          <w:sz w:val="20"/>
          <w:szCs w:val="20"/>
        </w:rPr>
        <w:t xml:space="preserve">Чистый долг </w:t>
      </w:r>
      <w:r w:rsidRPr="003F3282">
        <w:rPr>
          <w:rStyle w:val="Subst"/>
          <w:i w:val="0"/>
          <w:sz w:val="20"/>
          <w:szCs w:val="20"/>
        </w:rPr>
        <w:br/>
        <w:t xml:space="preserve">На конец 2024 года чистый долг имеет отрицательное значение. </w:t>
      </w:r>
      <w:r w:rsidRPr="003F3282">
        <w:rPr>
          <w:rStyle w:val="a5"/>
          <w:bCs w:val="0"/>
          <w:color w:val="333333"/>
          <w:sz w:val="20"/>
          <w:szCs w:val="20"/>
        </w:rPr>
        <w:t>Отрицательный чистый долг</w:t>
      </w:r>
      <w:r w:rsidRPr="003F3282">
        <w:rPr>
          <w:color w:val="333333"/>
          <w:sz w:val="20"/>
          <w:szCs w:val="20"/>
        </w:rPr>
        <w:t> </w:t>
      </w:r>
      <w:r w:rsidRPr="003F3282">
        <w:rPr>
          <w:b w:val="0"/>
          <w:color w:val="333333"/>
          <w:sz w:val="20"/>
          <w:szCs w:val="20"/>
        </w:rPr>
        <w:t>означает, что</w:t>
      </w:r>
      <w:r w:rsidRPr="003F3282">
        <w:rPr>
          <w:color w:val="333333"/>
          <w:sz w:val="20"/>
          <w:szCs w:val="20"/>
        </w:rPr>
        <w:t> </w:t>
      </w:r>
      <w:r w:rsidRPr="003F3282">
        <w:rPr>
          <w:rStyle w:val="a5"/>
          <w:bCs w:val="0"/>
          <w:color w:val="333333"/>
          <w:sz w:val="20"/>
          <w:szCs w:val="20"/>
        </w:rPr>
        <w:t>на отчётную дату предприятие с избытком перекрывает финансовые обязательства денежными средствами и высоколиквидными активами</w:t>
      </w:r>
      <w:r w:rsidRPr="003F3282">
        <w:rPr>
          <w:color w:val="333333"/>
          <w:sz w:val="20"/>
          <w:szCs w:val="20"/>
        </w:rPr>
        <w:t>. </w:t>
      </w:r>
    </w:p>
    <w:p w:rsidR="00543E5B" w:rsidRPr="003F3282" w:rsidRDefault="00543E5B" w:rsidP="00DD2EC1">
      <w:pPr>
        <w:pStyle w:val="2"/>
        <w:spacing w:before="0" w:after="0"/>
        <w:contextualSpacing/>
        <w:jc w:val="both"/>
        <w:rPr>
          <w:b w:val="0"/>
          <w:color w:val="333333"/>
          <w:sz w:val="20"/>
          <w:szCs w:val="20"/>
          <w:shd w:val="clear" w:color="auto" w:fill="FFFFFF"/>
        </w:rPr>
      </w:pPr>
      <w:r w:rsidRPr="003F3282">
        <w:rPr>
          <w:rStyle w:val="Subst"/>
          <w:i w:val="0"/>
          <w:sz w:val="20"/>
          <w:szCs w:val="20"/>
        </w:rPr>
        <w:t>Чистый долг / EBITDA</w:t>
      </w:r>
      <w:r w:rsidRPr="003F3282">
        <w:rPr>
          <w:rStyle w:val="Subst"/>
          <w:i w:val="0"/>
          <w:sz w:val="20"/>
          <w:szCs w:val="20"/>
        </w:rPr>
        <w:br/>
        <w:t xml:space="preserve">За 2024 год отношение чистого долга к </w:t>
      </w:r>
      <w:proofErr w:type="gramStart"/>
      <w:r w:rsidRPr="003F3282">
        <w:rPr>
          <w:rStyle w:val="Subst"/>
          <w:i w:val="0"/>
          <w:sz w:val="20"/>
          <w:szCs w:val="20"/>
        </w:rPr>
        <w:t>EBITDA  имеет</w:t>
      </w:r>
      <w:proofErr w:type="gramEnd"/>
      <w:r w:rsidRPr="003F3282">
        <w:rPr>
          <w:rStyle w:val="Subst"/>
          <w:i w:val="0"/>
          <w:sz w:val="20"/>
          <w:szCs w:val="20"/>
        </w:rPr>
        <w:t xml:space="preserve"> отрицательное значение. </w:t>
      </w:r>
      <w:r w:rsidRPr="003F3282">
        <w:rPr>
          <w:rStyle w:val="a5"/>
          <w:bCs w:val="0"/>
          <w:color w:val="333333"/>
          <w:sz w:val="20"/>
          <w:szCs w:val="20"/>
          <w:shd w:val="clear" w:color="auto" w:fill="FFFFFF"/>
        </w:rPr>
        <w:t>Отрицательное отношение чистого долга к EBITDA означает, что у предприятия отрицательный чистый долг</w:t>
      </w:r>
      <w:r w:rsidRPr="003F3282">
        <w:rPr>
          <w:color w:val="333333"/>
          <w:sz w:val="20"/>
          <w:szCs w:val="20"/>
          <w:shd w:val="clear" w:color="auto" w:fill="FFFFFF"/>
        </w:rPr>
        <w:t xml:space="preserve">, </w:t>
      </w:r>
      <w:r w:rsidRPr="003F3282">
        <w:rPr>
          <w:b w:val="0"/>
          <w:color w:val="333333"/>
          <w:sz w:val="20"/>
          <w:szCs w:val="20"/>
          <w:shd w:val="clear" w:color="auto" w:fill="FFFFFF"/>
        </w:rPr>
        <w:t>то есть денег больше, чем долгов.</w:t>
      </w:r>
    </w:p>
    <w:p w:rsidR="00177550" w:rsidRPr="002D55BB" w:rsidRDefault="00543E5B" w:rsidP="002D55BB">
      <w:pPr>
        <w:pStyle w:val="futurismarkdown-paragraph"/>
        <w:shd w:val="clear" w:color="auto" w:fill="FFFFFF"/>
        <w:spacing w:before="0" w:beforeAutospacing="0" w:after="0" w:afterAutospacing="0"/>
        <w:contextualSpacing/>
        <w:jc w:val="both"/>
        <w:rPr>
          <w:rStyle w:val="Subst"/>
          <w:b w:val="0"/>
          <w:i w:val="0"/>
          <w:color w:val="333333"/>
          <w:sz w:val="20"/>
          <w:szCs w:val="20"/>
        </w:rPr>
      </w:pPr>
      <w:r w:rsidRPr="003F3282">
        <w:rPr>
          <w:rStyle w:val="Subst"/>
          <w:b w:val="0"/>
          <w:i w:val="0"/>
          <w:sz w:val="20"/>
          <w:szCs w:val="20"/>
        </w:rPr>
        <w:t>Чистые денежные средства, полученные от операционной деятельности</w:t>
      </w:r>
      <w:r w:rsidRPr="003F3282">
        <w:rPr>
          <w:rStyle w:val="Subst"/>
          <w:b w:val="0"/>
          <w:i w:val="0"/>
          <w:sz w:val="20"/>
          <w:szCs w:val="20"/>
        </w:rPr>
        <w:br/>
        <w:t xml:space="preserve">По итогам 2024 года </w:t>
      </w:r>
      <w:proofErr w:type="gramStart"/>
      <w:r w:rsidRPr="003F3282">
        <w:rPr>
          <w:rStyle w:val="Subst"/>
          <w:b w:val="0"/>
          <w:i w:val="0"/>
          <w:sz w:val="20"/>
          <w:szCs w:val="20"/>
        </w:rPr>
        <w:t>чистые денежные средства</w:t>
      </w:r>
      <w:proofErr w:type="gramEnd"/>
      <w:r w:rsidRPr="003F3282">
        <w:rPr>
          <w:rStyle w:val="Subst"/>
          <w:b w:val="0"/>
          <w:i w:val="0"/>
          <w:sz w:val="20"/>
          <w:szCs w:val="20"/>
        </w:rPr>
        <w:t xml:space="preserve"> имеют положительное значение в размере 1 088 120 тыс. руб. (2023 г.: -163 384 тыс. руб.). Предприятие управляет уровнем ликвидности с целью обеспечить наличие необходимых средств в любой момент времени для выполнения всех обязательств по платежам в установленные сроки. Предприятие осуществляет мониторинг отношения операционной прибыли к процентам к уплате, и других коэффициентов, чтобы не допустить возникновения проблем с ликвидностью. </w:t>
      </w:r>
      <w:r w:rsidRPr="003F3282">
        <w:rPr>
          <w:color w:val="333333"/>
          <w:sz w:val="20"/>
          <w:szCs w:val="20"/>
          <w:shd w:val="clear" w:color="auto" w:fill="FFFFFF"/>
        </w:rPr>
        <w:t>Положительные чистые денежные средства, полученные от операционной деятельности, означают, что</w:t>
      </w:r>
      <w:r w:rsidRPr="003F3282">
        <w:rPr>
          <w:b/>
          <w:color w:val="333333"/>
          <w:sz w:val="20"/>
          <w:szCs w:val="20"/>
          <w:shd w:val="clear" w:color="auto" w:fill="FFFFFF"/>
        </w:rPr>
        <w:t> </w:t>
      </w:r>
      <w:r w:rsidRPr="003F3282">
        <w:rPr>
          <w:rStyle w:val="a5"/>
          <w:b w:val="0"/>
          <w:bCs/>
          <w:color w:val="333333"/>
          <w:sz w:val="20"/>
          <w:szCs w:val="20"/>
          <w:shd w:val="clear" w:color="auto" w:fill="FFFFFF"/>
        </w:rPr>
        <w:t>компания получает достаточно доходов от своей основной деятельности, чтобы покрыть операционные расходы</w:t>
      </w:r>
      <w:r w:rsidRPr="003F3282">
        <w:rPr>
          <w:b/>
          <w:color w:val="333333"/>
          <w:sz w:val="20"/>
          <w:szCs w:val="20"/>
          <w:shd w:val="clear" w:color="auto" w:fill="FFFFFF"/>
        </w:rPr>
        <w:t>.  </w:t>
      </w:r>
      <w:r w:rsidRPr="003F3282">
        <w:rPr>
          <w:rStyle w:val="Subst"/>
          <w:b w:val="0"/>
          <w:i w:val="0"/>
          <w:sz w:val="20"/>
          <w:szCs w:val="20"/>
        </w:rPr>
        <w:br/>
        <w:t>Расходы на приобретение основных средств и нематериальных активов (капитальные затраты)</w:t>
      </w:r>
      <w:r w:rsidRPr="003F3282">
        <w:rPr>
          <w:rStyle w:val="Subst"/>
          <w:b w:val="0"/>
          <w:i w:val="0"/>
          <w:sz w:val="20"/>
          <w:szCs w:val="20"/>
        </w:rPr>
        <w:br/>
        <w:t>Предприятие продолжает программы реинжиниринга производства и развития модельного ряда. В течение 2024 года объем вложенных инвестиций на модернизацию, освоение новых технологий составил 70 025 тыс. руб. (2023 год: 32 729 тыс. руб.), что составляет 0,5% от выручки.</w:t>
      </w:r>
      <w:r w:rsidRPr="003F3282">
        <w:rPr>
          <w:rStyle w:val="Subst"/>
          <w:b w:val="0"/>
          <w:i w:val="0"/>
          <w:sz w:val="20"/>
          <w:szCs w:val="20"/>
        </w:rPr>
        <w:br/>
        <w:t xml:space="preserve">Свободный денежный поток </w:t>
      </w:r>
      <w:r w:rsidRPr="003F3282">
        <w:rPr>
          <w:rStyle w:val="Subst"/>
          <w:b w:val="0"/>
          <w:i w:val="0"/>
          <w:sz w:val="20"/>
          <w:szCs w:val="20"/>
        </w:rPr>
        <w:br/>
      </w:r>
      <w:r w:rsidRPr="003F3282">
        <w:rPr>
          <w:rStyle w:val="a5"/>
          <w:b w:val="0"/>
          <w:bCs/>
          <w:color w:val="333333"/>
          <w:sz w:val="20"/>
          <w:szCs w:val="20"/>
        </w:rPr>
        <w:t>За 2024 год предприятие имеет положительный свободный денежный поток - это означает, что компания генерирует денежные средства</w:t>
      </w:r>
      <w:r w:rsidRPr="003F3282">
        <w:rPr>
          <w:b/>
          <w:color w:val="333333"/>
          <w:sz w:val="20"/>
          <w:szCs w:val="20"/>
        </w:rPr>
        <w:t>,</w:t>
      </w:r>
      <w:r w:rsidRPr="003F3282">
        <w:rPr>
          <w:color w:val="333333"/>
          <w:sz w:val="20"/>
          <w:szCs w:val="20"/>
        </w:rPr>
        <w:t xml:space="preserve"> которые могут быть реинвестированы в новые продукты,  модернизацию производства, освоение новых технологий.</w:t>
      </w:r>
    </w:p>
    <w:p w:rsidR="00543E5B" w:rsidRPr="003F3282" w:rsidRDefault="00543E5B" w:rsidP="00DD2EC1">
      <w:pPr>
        <w:pStyle w:val="2"/>
        <w:spacing w:before="0" w:after="0"/>
        <w:contextualSpacing/>
        <w:jc w:val="both"/>
        <w:rPr>
          <w:i/>
          <w:sz w:val="20"/>
          <w:szCs w:val="20"/>
        </w:rPr>
      </w:pPr>
      <w:r w:rsidRPr="003F3282">
        <w:rPr>
          <w:rStyle w:val="Subst"/>
          <w:i w:val="0"/>
          <w:sz w:val="20"/>
          <w:szCs w:val="20"/>
        </w:rPr>
        <w:t>Рентабельность капитала (ROE)</w:t>
      </w:r>
      <w:r w:rsidRPr="003F3282">
        <w:rPr>
          <w:rStyle w:val="Subst"/>
          <w:i w:val="0"/>
          <w:sz w:val="20"/>
          <w:szCs w:val="20"/>
        </w:rPr>
        <w:br/>
        <w:t>По итогам 2024 года показатель эффективности капитала снизился  на 23% и составил 34,2%.</w:t>
      </w:r>
      <w:r w:rsidRPr="003F3282">
        <w:rPr>
          <w:rStyle w:val="Subst"/>
          <w:i w:val="0"/>
          <w:sz w:val="20"/>
          <w:szCs w:val="20"/>
        </w:rPr>
        <w:br/>
        <w:t xml:space="preserve">Основные события и факторы, в том числе макроэкономические, которые оказали существенное влияние на изменение приведенных финансовых показателей: </w:t>
      </w:r>
      <w:r w:rsidRPr="003F3282">
        <w:rPr>
          <w:rStyle w:val="Subst"/>
          <w:i w:val="0"/>
          <w:sz w:val="20"/>
          <w:szCs w:val="20"/>
        </w:rPr>
        <w:br/>
        <w:t xml:space="preserve">- реализация инвестиционных программ, модернизация производства; </w:t>
      </w:r>
      <w:r w:rsidRPr="003F3282">
        <w:rPr>
          <w:rStyle w:val="Subst"/>
          <w:i w:val="0"/>
          <w:sz w:val="20"/>
          <w:szCs w:val="20"/>
        </w:rPr>
        <w:br/>
        <w:t>- рост объемов производства.</w:t>
      </w:r>
      <w:r w:rsidRPr="003F3282">
        <w:rPr>
          <w:rStyle w:val="Subst"/>
          <w:i w:val="0"/>
          <w:sz w:val="20"/>
          <w:szCs w:val="20"/>
        </w:rPr>
        <w:br/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1.5. Сведения об основных поставщиках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настоящего пункта раскрывается на основе данных финансовой отчётности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Уровень (количественный критерий) существенности объема и (или) доли поставок основного поставщика:</w:t>
      </w:r>
      <w:r w:rsidRPr="003F3282">
        <w:rPr>
          <w:rStyle w:val="Subst"/>
          <w:bCs/>
          <w:iCs/>
        </w:rPr>
        <w:t xml:space="preserve"> Поставщики эмитента, на которых приходится не менее 10 процентов всех поставок материалов и товаров (сырья)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Сведения о поставщиках, подпадающих под определенный эмитентом уровень существенности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Полное фирменное наименование:</w:t>
      </w:r>
      <w:r w:rsidRPr="003F3282">
        <w:rPr>
          <w:rStyle w:val="Subst"/>
          <w:bCs/>
          <w:iCs/>
        </w:rPr>
        <w:t xml:space="preserve"> Публичное акционерное общество "Магнитогорский металлургический комбинат"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Сокращенное фирменное наименование:</w:t>
      </w:r>
      <w:r w:rsidRPr="003F3282">
        <w:rPr>
          <w:rStyle w:val="Subst"/>
          <w:bCs/>
          <w:iCs/>
        </w:rPr>
        <w:t xml:space="preserve"> ПАО "ММК"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Место нахождения:</w:t>
      </w:r>
      <w:r w:rsidRPr="003F3282">
        <w:rPr>
          <w:rStyle w:val="Subst"/>
          <w:bCs/>
          <w:iCs/>
        </w:rPr>
        <w:t xml:space="preserve"> Челябинская область </w:t>
      </w:r>
      <w:proofErr w:type="spellStart"/>
      <w:r w:rsidRPr="003F3282">
        <w:rPr>
          <w:rStyle w:val="Subst"/>
          <w:bCs/>
          <w:iCs/>
        </w:rPr>
        <w:t>г.Магнитогорск</w:t>
      </w:r>
      <w:proofErr w:type="spellEnd"/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ИНН:</w:t>
      </w:r>
      <w:r w:rsidRPr="003F3282">
        <w:rPr>
          <w:rStyle w:val="Subst"/>
          <w:bCs/>
          <w:iCs/>
        </w:rPr>
        <w:t xml:space="preserve"> 7414003633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ОГРН:</w:t>
      </w:r>
      <w:r w:rsidRPr="003F3282">
        <w:rPr>
          <w:rStyle w:val="Subst"/>
          <w:bCs/>
          <w:iCs/>
        </w:rPr>
        <w:t xml:space="preserve"> 1027402166835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Краткое описание (характеристика) поставленного сырья и товаров (работ, услуг):</w:t>
      </w:r>
      <w:r w:rsidRPr="003F3282">
        <w:rPr>
          <w:rStyle w:val="Subst"/>
          <w:bCs/>
          <w:iCs/>
        </w:rPr>
        <w:t xml:space="preserve"> Поставщик металлопроката (листы, профили)</w:t>
      </w:r>
    </w:p>
    <w:p w:rsidR="00017D6E" w:rsidRPr="003F3282" w:rsidRDefault="00017D6E" w:rsidP="00DD2EC1">
      <w:pPr>
        <w:widowControl/>
        <w:autoSpaceDE/>
        <w:autoSpaceDN/>
        <w:adjustRightInd/>
        <w:spacing w:before="0" w:after="0"/>
        <w:contextualSpacing/>
        <w:jc w:val="both"/>
        <w:outlineLvl w:val="0"/>
        <w:rPr>
          <w:rFonts w:ascii="Arial" w:hAnsi="Arial" w:cs="Arial"/>
        </w:rPr>
      </w:pPr>
      <w:r w:rsidRPr="003F3282">
        <w:t>Доля основного поставщика в объеме поставок сырья и (товаров, работ, услуг), %:</w:t>
      </w:r>
      <w:r w:rsidR="00543E5B" w:rsidRPr="003F3282">
        <w:t xml:space="preserve"> </w:t>
      </w:r>
      <w:r w:rsidR="00543E5B" w:rsidRPr="003F3282">
        <w:rPr>
          <w:rFonts w:eastAsia="Times New Roman"/>
        </w:rPr>
        <w:t>15,08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Основной поставщик не является организацией, подконтрольной членам органов управления эмитента и (или) лицу, контролирующему эмитента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Сведения об иных поставщиках, имеющих для эмитента существенное значение</w:t>
      </w:r>
    </w:p>
    <w:p w:rsidR="00017D6E" w:rsidRDefault="00017D6E" w:rsidP="00DD2EC1">
      <w:pPr>
        <w:spacing w:before="0" w:after="0"/>
        <w:ind w:left="4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Иных поставщиков, имеющих для эмитента существенное значение, нет</w:t>
      </w:r>
    </w:p>
    <w:p w:rsidR="00D530CC" w:rsidRPr="003F3282" w:rsidRDefault="00D530CC" w:rsidP="00DD2EC1">
      <w:pPr>
        <w:spacing w:before="0" w:after="0"/>
        <w:ind w:left="4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1.6. Сведения об основных дебиторах эмитента</w:t>
      </w:r>
    </w:p>
    <w:p w:rsidR="00543E5B" w:rsidRPr="00CA184A" w:rsidRDefault="00543E5B" w:rsidP="00DD2EC1">
      <w:pPr>
        <w:spacing w:before="0" w:after="0"/>
        <w:ind w:left="200"/>
        <w:contextualSpacing/>
        <w:jc w:val="both"/>
      </w:pPr>
      <w:bookmarkStart w:id="1" w:name="_Toc178321133"/>
      <w:r w:rsidRPr="00CA184A">
        <w:t>Информация настоящего пункта раскрывается на основе данных финансовой отчётности</w:t>
      </w:r>
    </w:p>
    <w:p w:rsidR="00543E5B" w:rsidRPr="00974CB4" w:rsidRDefault="00543E5B" w:rsidP="00DD2EC1">
      <w:pPr>
        <w:spacing w:before="0" w:after="0"/>
        <w:ind w:left="200"/>
        <w:contextualSpacing/>
        <w:jc w:val="both"/>
      </w:pPr>
      <w:r w:rsidRPr="00CA184A">
        <w:t>Уровень существенности дебиторской задолженности, приходящейся на долю основного дебитора:</w:t>
      </w:r>
      <w:r w:rsidRPr="00CA184A">
        <w:rPr>
          <w:rStyle w:val="Subst"/>
          <w:bCs/>
          <w:iCs/>
        </w:rPr>
        <w:t xml:space="preserve"> </w:t>
      </w:r>
      <w:r w:rsidRPr="00974CB4">
        <w:rPr>
          <w:rStyle w:val="Subst"/>
          <w:bCs/>
          <w:iCs/>
        </w:rPr>
        <w:t>Уровень существенности дебиторской задолженности, приходящейся на долю основного дебитора не менее 10 процентов от общей суммы дебиторской задолженности.</w:t>
      </w:r>
    </w:p>
    <w:p w:rsidR="00A76A71" w:rsidRDefault="00543E5B" w:rsidP="00A76A71">
      <w:pPr>
        <w:pStyle w:val="SubHeading"/>
        <w:spacing w:before="0" w:after="0"/>
        <w:ind w:left="200"/>
        <w:contextualSpacing/>
        <w:jc w:val="both"/>
      </w:pPr>
      <w:r w:rsidRPr="00974CB4">
        <w:t>Основные дебиторы, имеющие для эмитента (группы эмитента) существенное значение, подпадающие под определенный эмитентом уровень существенности</w:t>
      </w:r>
    </w:p>
    <w:p w:rsidR="00A76A71" w:rsidRP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lastRenderedPageBreak/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A76A71" w:rsidRPr="00A76A71" w:rsidRDefault="00A76A71" w:rsidP="00A76A71">
      <w:pPr>
        <w:pStyle w:val="SubHeading"/>
        <w:spacing w:before="0" w:after="0"/>
        <w:ind w:left="200"/>
        <w:contextualSpacing/>
        <w:jc w:val="both"/>
      </w:pPr>
    </w:p>
    <w:p w:rsidR="006206E1" w:rsidRPr="003F3282" w:rsidRDefault="006206E1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1.7. Сведения об обязательствах эмитента</w:t>
      </w:r>
      <w:bookmarkEnd w:id="1"/>
    </w:p>
    <w:p w:rsidR="006206E1" w:rsidRPr="003F3282" w:rsidRDefault="006206E1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bookmarkStart w:id="2" w:name="_Toc178321134"/>
      <w:r w:rsidRPr="003F3282">
        <w:rPr>
          <w:sz w:val="20"/>
          <w:szCs w:val="20"/>
        </w:rPr>
        <w:t>1.7.1. Сведения об основных кредиторах эмитента</w:t>
      </w:r>
      <w:bookmarkEnd w:id="2"/>
    </w:p>
    <w:p w:rsidR="006206E1" w:rsidRPr="003F3282" w:rsidRDefault="006206E1" w:rsidP="00DD2EC1">
      <w:pPr>
        <w:spacing w:before="0" w:after="0"/>
        <w:ind w:left="200"/>
        <w:contextualSpacing/>
        <w:jc w:val="both"/>
      </w:pPr>
      <w:r w:rsidRPr="003F3282">
        <w:t>Информация настоящего пункта раскрывается на основе данных финансовой отчётности</w:t>
      </w:r>
    </w:p>
    <w:p w:rsidR="006206E1" w:rsidRPr="003F3282" w:rsidRDefault="006206E1" w:rsidP="00DD2EC1">
      <w:pPr>
        <w:spacing w:before="0" w:after="0"/>
        <w:ind w:left="200"/>
        <w:contextualSpacing/>
        <w:jc w:val="both"/>
        <w:rPr>
          <w:rStyle w:val="Subst"/>
        </w:rPr>
      </w:pPr>
      <w:r w:rsidRPr="003F3282">
        <w:t>Уровень существенности кредиторской задолженности, приходящейся на долю основного кредитора:</w:t>
      </w:r>
      <w:r w:rsidRPr="003F3282">
        <w:rPr>
          <w:rStyle w:val="Subst"/>
          <w:bCs/>
          <w:iCs/>
        </w:rPr>
        <w:t xml:space="preserve"> Уровень существенности кредиторской задолженности - не менее 10 процентов от общей суммы кредиторской задолженности </w:t>
      </w:r>
    </w:p>
    <w:p w:rsidR="006206E1" w:rsidRPr="003F3282" w:rsidRDefault="006206E1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или не менее 10 процентов от общего размера заемных (долгосрочных и краткосрочных) средств</w:t>
      </w:r>
    </w:p>
    <w:p w:rsidR="006206E1" w:rsidRPr="003F3282" w:rsidRDefault="006206E1" w:rsidP="00DD2EC1">
      <w:pPr>
        <w:pStyle w:val="SubHeading"/>
        <w:spacing w:before="0" w:after="0"/>
        <w:ind w:left="200"/>
        <w:contextualSpacing/>
        <w:jc w:val="both"/>
      </w:pPr>
      <w:r w:rsidRPr="003F3282">
        <w:t>Основные кредиторы, имеющие для эмитента (группы эмитента) существенное значение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Полное фирменное наименование:</w:t>
      </w:r>
      <w:r w:rsidRPr="003F3282">
        <w:rPr>
          <w:rStyle w:val="Subst"/>
          <w:bCs/>
          <w:iCs/>
        </w:rPr>
        <w:t xml:space="preserve"> Публичное акционерное общество "Магнитогорский металлургический комбинат"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Сокращенное фирменное наименование:</w:t>
      </w:r>
      <w:r w:rsidRPr="003F3282">
        <w:rPr>
          <w:rStyle w:val="Subst"/>
          <w:bCs/>
          <w:iCs/>
        </w:rPr>
        <w:t xml:space="preserve"> ПАО "ММК"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Место нахождения:</w:t>
      </w:r>
      <w:r w:rsidRPr="003F3282">
        <w:rPr>
          <w:rStyle w:val="Subst"/>
          <w:bCs/>
          <w:iCs/>
        </w:rPr>
        <w:t xml:space="preserve"> Челябинская область, </w:t>
      </w:r>
      <w:proofErr w:type="spellStart"/>
      <w:r w:rsidRPr="003F3282">
        <w:rPr>
          <w:rStyle w:val="Subst"/>
          <w:bCs/>
          <w:iCs/>
        </w:rPr>
        <w:t>г.Магнитогорск</w:t>
      </w:r>
      <w:proofErr w:type="spellEnd"/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ИНН:</w:t>
      </w:r>
      <w:r w:rsidRPr="003F3282">
        <w:rPr>
          <w:rStyle w:val="Subst"/>
          <w:bCs/>
          <w:iCs/>
        </w:rPr>
        <w:t xml:space="preserve"> 7414003633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ОГРН:</w:t>
      </w:r>
      <w:r w:rsidRPr="003F3282">
        <w:rPr>
          <w:rStyle w:val="Subst"/>
          <w:bCs/>
          <w:iCs/>
        </w:rPr>
        <w:t xml:space="preserve"> 1027402166835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Сумма кредиторской задолженности:</w:t>
      </w:r>
      <w:r w:rsidRPr="003F3282">
        <w:rPr>
          <w:rStyle w:val="Subst"/>
          <w:bCs/>
          <w:iCs/>
        </w:rPr>
        <w:t xml:space="preserve"> 179 377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Единица измерения:</w:t>
      </w:r>
      <w:r w:rsidRPr="003F3282">
        <w:rPr>
          <w:rStyle w:val="Subst"/>
          <w:bCs/>
          <w:iCs/>
        </w:rPr>
        <w:t xml:space="preserve"> тыс. руб.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Доля основного кредитора в объеме кредиторской задолженности, %:</w:t>
      </w:r>
      <w:r w:rsidRPr="003F3282">
        <w:rPr>
          <w:rStyle w:val="Subst"/>
          <w:bCs/>
          <w:iCs/>
        </w:rPr>
        <w:t xml:space="preserve"> 22,9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Размер и условия (процентная ставка, размер неустойки) просроченной кредиторской задолженности:</w:t>
      </w:r>
      <w:r w:rsidRPr="003F3282">
        <w:br/>
      </w:r>
      <w:r w:rsidRPr="003F3282">
        <w:rPr>
          <w:rStyle w:val="Subst"/>
          <w:bCs/>
          <w:iCs/>
        </w:rPr>
        <w:t>Кредиторская задолженность текущая. Санкции по неисполнению соответствующих обязательств не применялись.</w:t>
      </w:r>
      <w:r w:rsidRPr="003F3282">
        <w:rPr>
          <w:rStyle w:val="Subst"/>
          <w:bCs/>
          <w:iCs/>
        </w:rPr>
        <w:br/>
        <w:t>Иных кредиторов, имеющих для эмитента существенное значение, нет.</w:t>
      </w:r>
    </w:p>
    <w:p w:rsidR="00543E5B" w:rsidRPr="003F3282" w:rsidRDefault="00543E5B" w:rsidP="00DD2EC1">
      <w:pPr>
        <w:spacing w:before="0" w:after="0"/>
        <w:ind w:left="400"/>
        <w:contextualSpacing/>
        <w:jc w:val="both"/>
      </w:pPr>
      <w:r w:rsidRPr="003F3282">
        <w:t>Основной кредитор не является организацией, подконтрольной члену органов управления эмитента и (или) лицу, контролирующему эмитента</w:t>
      </w:r>
    </w:p>
    <w:p w:rsidR="00017D6E" w:rsidRPr="003F3282" w:rsidRDefault="00543E5B" w:rsidP="00DD2EC1">
      <w:pPr>
        <w:pStyle w:val="SubHeading"/>
        <w:spacing w:before="0" w:after="0"/>
        <w:ind w:left="200"/>
        <w:contextualSpacing/>
        <w:jc w:val="both"/>
      </w:pPr>
      <w:r w:rsidRPr="003F3282">
        <w:t xml:space="preserve">Иные кредиторы, имеющие для эмитента существенное значение </w:t>
      </w:r>
      <w:r w:rsidR="00017D6E" w:rsidRPr="003F3282">
        <w:rPr>
          <w:rStyle w:val="Subst"/>
          <w:bCs/>
          <w:iCs/>
        </w:rPr>
        <w:t>нет</w:t>
      </w:r>
    </w:p>
    <w:p w:rsidR="00017D6E" w:rsidRPr="00D5637E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D5637E">
        <w:rPr>
          <w:sz w:val="20"/>
          <w:szCs w:val="20"/>
        </w:rPr>
        <w:t>1.7.2. Сведения об обязательствах эмитента из предоставленного обеспечения</w:t>
      </w:r>
    </w:p>
    <w:p w:rsidR="00017D6E" w:rsidRPr="00D5637E" w:rsidRDefault="00017D6E" w:rsidP="00DD2EC1">
      <w:pPr>
        <w:spacing w:before="0" w:after="0"/>
        <w:ind w:left="200"/>
        <w:contextualSpacing/>
        <w:jc w:val="both"/>
      </w:pPr>
      <w:r w:rsidRPr="00D5637E">
        <w:t>Информация настоящего пункта раскрывается на основе данных финансовой отчётности</w:t>
      </w:r>
    </w:p>
    <w:p w:rsidR="00017D6E" w:rsidRPr="00D5637E" w:rsidRDefault="00017D6E" w:rsidP="00DD2EC1">
      <w:pPr>
        <w:spacing w:before="0" w:after="0"/>
        <w:ind w:left="200"/>
        <w:contextualSpacing/>
        <w:jc w:val="both"/>
      </w:pPr>
      <w:r w:rsidRPr="00D5637E">
        <w:t>Единица измерения:</w:t>
      </w:r>
      <w:r w:rsidRPr="00D5637E">
        <w:rPr>
          <w:rStyle w:val="Subst"/>
          <w:bCs/>
          <w:iCs/>
        </w:rPr>
        <w:t xml:space="preserve"> тыс. руб.</w:t>
      </w:r>
    </w:p>
    <w:p w:rsidR="00017D6E" w:rsidRPr="00D5637E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017D6E" w:rsidRPr="00D5637E">
        <w:tc>
          <w:tcPr>
            <w:tcW w:w="55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Наименование показателя</w:t>
            </w:r>
          </w:p>
        </w:tc>
        <w:tc>
          <w:tcPr>
            <w:tcW w:w="3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На  31.12.2024 г.</w:t>
            </w:r>
          </w:p>
        </w:tc>
      </w:tr>
      <w:tr w:rsidR="00017D6E" w:rsidRPr="00D5637E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Размер предоставленного эмитентом обеспечения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</w:p>
        </w:tc>
      </w:tr>
      <w:tr w:rsidR="00017D6E" w:rsidRPr="00D5637E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- в том числе в форме залога: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D5637E" w:rsidRDefault="00974CB4" w:rsidP="00974CB4">
            <w:pPr>
              <w:spacing w:before="0" w:after="0"/>
              <w:contextualSpacing/>
              <w:jc w:val="right"/>
            </w:pPr>
            <w:r>
              <w:t>0</w:t>
            </w:r>
          </w:p>
        </w:tc>
      </w:tr>
      <w:tr w:rsidR="00017D6E" w:rsidRPr="00D5637E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- в том числе в форме поручительства: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D5637E" w:rsidRDefault="00974CB4" w:rsidP="00974CB4">
            <w:pPr>
              <w:spacing w:before="0" w:after="0"/>
              <w:contextualSpacing/>
              <w:jc w:val="right"/>
            </w:pPr>
            <w:r>
              <w:t>0</w:t>
            </w:r>
          </w:p>
        </w:tc>
      </w:tr>
      <w:tr w:rsidR="00017D6E" w:rsidRPr="00D5637E">
        <w:tc>
          <w:tcPr>
            <w:tcW w:w="5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17D6E" w:rsidRPr="00D5637E" w:rsidRDefault="00017D6E" w:rsidP="00DD2EC1">
            <w:pPr>
              <w:spacing w:before="0" w:after="0"/>
              <w:contextualSpacing/>
              <w:jc w:val="both"/>
            </w:pPr>
            <w:r w:rsidRPr="00D5637E">
              <w:t>- в том числе в форме независимой гарантии: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D5637E" w:rsidRDefault="00974CB4" w:rsidP="00974CB4">
            <w:pPr>
              <w:spacing w:before="0" w:after="0"/>
              <w:contextualSpacing/>
              <w:jc w:val="right"/>
            </w:pPr>
            <w:r>
              <w:t>0</w:t>
            </w:r>
          </w:p>
        </w:tc>
      </w:tr>
    </w:tbl>
    <w:p w:rsidR="00017D6E" w:rsidRPr="00D5637E" w:rsidRDefault="00017D6E" w:rsidP="00DD2EC1">
      <w:pPr>
        <w:spacing w:before="0" w:after="0"/>
        <w:contextualSpacing/>
        <w:jc w:val="both"/>
      </w:pPr>
    </w:p>
    <w:p w:rsidR="00017D6E" w:rsidRPr="00D5637E" w:rsidRDefault="00017D6E" w:rsidP="00DD2EC1">
      <w:pPr>
        <w:spacing w:before="0" w:after="0"/>
        <w:ind w:left="200"/>
        <w:contextualSpacing/>
        <w:jc w:val="both"/>
      </w:pPr>
      <w:r w:rsidRPr="00D5637E">
        <w:t>Уровень существенности размера предоставленного обеспечения:</w:t>
      </w:r>
    </w:p>
    <w:p w:rsidR="00974CB4" w:rsidRDefault="00017D6E" w:rsidP="00974CB4">
      <w:pPr>
        <w:ind w:left="400"/>
        <w:rPr>
          <w:rStyle w:val="Subst"/>
        </w:rPr>
      </w:pPr>
      <w:r w:rsidRPr="00D5637E">
        <w:t>Сделки по предоставлению обеспечения, имеющие для эмитента (группы эмитента) существенное значение</w:t>
      </w:r>
      <w:r w:rsidR="00974CB4">
        <w:t xml:space="preserve"> </w:t>
      </w:r>
      <w:r w:rsidR="00974CB4">
        <w:rPr>
          <w:rStyle w:val="Subst"/>
        </w:rPr>
        <w:t>Указанных сделок нет</w:t>
      </w:r>
    </w:p>
    <w:p w:rsidR="00D530CC" w:rsidRDefault="00D530CC" w:rsidP="00974CB4">
      <w:pPr>
        <w:ind w:left="400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1.7.3. Сведения о прочих существенных обязательствах эмитента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Прочих обязательств, которые, по мнению эмитента, могут существенным образом воздействовать на финансовое положение эмитента (группы эмитента), в том числе на ликвидность, источники финансирования и условия их использования, результаты деятельности и расходы, не имеется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1.8. Сведения о перспективах развития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Приводится описание стратегии дальнейшего развития эмитента (а если эмитентом составляется и раскрывается консолидированная финансовая отчетность - стратегии дальнейшего развития группы эмитента) не менее чем на год в отношении организации нового производства, расширения или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 xml:space="preserve">Основными рынками сбыта, на которых эмитент осуществляет свою деятельность, являются рынок </w:t>
      </w:r>
      <w:proofErr w:type="spellStart"/>
      <w:r w:rsidRPr="003F3282">
        <w:rPr>
          <w:rStyle w:val="Subst"/>
          <w:bCs/>
          <w:iCs/>
        </w:rPr>
        <w:t>бетонотранспортной</w:t>
      </w:r>
      <w:proofErr w:type="spellEnd"/>
      <w:r w:rsidRPr="003F3282">
        <w:rPr>
          <w:rStyle w:val="Subst"/>
          <w:bCs/>
          <w:iCs/>
        </w:rPr>
        <w:t xml:space="preserve"> техники (для строительного комплекса) и рынок прицепной техники, которые охватывают все регионы России, а также страны СНГ.  </w:t>
      </w:r>
      <w:r w:rsidRPr="003F3282">
        <w:rPr>
          <w:rStyle w:val="Subst"/>
          <w:bCs/>
          <w:iCs/>
        </w:rPr>
        <w:br/>
        <w:t xml:space="preserve">Для достижения целей планируемых показателей финансово-экономической деятельности ПАО «ТЗА» предполагает осуществить следующие действия:  </w:t>
      </w:r>
      <w:r w:rsidRPr="003F3282">
        <w:rPr>
          <w:rStyle w:val="Subst"/>
          <w:bCs/>
          <w:iCs/>
        </w:rPr>
        <w:br/>
        <w:t xml:space="preserve">1. Реализовать в 2025 году:  </w:t>
      </w:r>
      <w:r w:rsidRPr="003F3282">
        <w:rPr>
          <w:rStyle w:val="Subst"/>
          <w:bCs/>
          <w:iCs/>
        </w:rPr>
        <w:br/>
        <w:t xml:space="preserve">1.1. Автобетоносмесители – 502 ед. </w:t>
      </w:r>
      <w:r w:rsidRPr="003F3282">
        <w:rPr>
          <w:rStyle w:val="Subst"/>
          <w:bCs/>
          <w:iCs/>
        </w:rPr>
        <w:br/>
        <w:t xml:space="preserve">1.2. Прицепы и полуприцепы – 3076 ед. </w:t>
      </w:r>
      <w:r w:rsidRPr="003F3282">
        <w:rPr>
          <w:rStyle w:val="Subst"/>
          <w:bCs/>
          <w:iCs/>
        </w:rPr>
        <w:br/>
        <w:t xml:space="preserve">1.3. Комплекты кабин – 1755 ед. </w:t>
      </w:r>
      <w:r w:rsidRPr="003F3282">
        <w:rPr>
          <w:rStyle w:val="Subst"/>
          <w:bCs/>
          <w:iCs/>
        </w:rPr>
        <w:br/>
        <w:t xml:space="preserve">2. Обеспечить объем выручки от реализации продукции, товаров и услуг на сумму более 13 млрд. </w:t>
      </w:r>
      <w:r w:rsidRPr="003F3282">
        <w:rPr>
          <w:rStyle w:val="Subst"/>
          <w:bCs/>
          <w:iCs/>
        </w:rPr>
        <w:lastRenderedPageBreak/>
        <w:t xml:space="preserve">руб.  </w:t>
      </w:r>
      <w:r w:rsidRPr="003F3282">
        <w:rPr>
          <w:rStyle w:val="Subst"/>
          <w:bCs/>
          <w:iCs/>
        </w:rPr>
        <w:br/>
        <w:t xml:space="preserve">3. Получить прибыль в размере 412 млн. руб. </w:t>
      </w:r>
      <w:r w:rsidRPr="003F3282">
        <w:rPr>
          <w:rStyle w:val="Subst"/>
          <w:bCs/>
          <w:iCs/>
        </w:rPr>
        <w:br/>
        <w:t xml:space="preserve">4.Повысить конкурентоспособность продукции за счет:  </w:t>
      </w:r>
      <w:r w:rsidRPr="003F3282">
        <w:rPr>
          <w:rStyle w:val="Subst"/>
          <w:bCs/>
          <w:iCs/>
        </w:rPr>
        <w:br/>
        <w:t xml:space="preserve">4.1. Совершенствования конструкции автобетоносмесителей, автобетононасосов и стационарных бетононасосов на основе Комплексной программы работ. </w:t>
      </w:r>
      <w:r w:rsidRPr="003F3282">
        <w:rPr>
          <w:rStyle w:val="Subst"/>
          <w:bCs/>
          <w:iCs/>
        </w:rPr>
        <w:br/>
        <w:t>4.2. Поддержания и совершенствования технологии производства продукции на основе обновления технологического оборудования.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 Сведения о рисках, связанных с деятельностью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Описываются риски, реализация которых может оказать существенное влияние на финансово-хозяйственную деятельность и финансовое положение эмитента, а если эмитентом составляется и раскрывается консолидированная финансовая отчетность, - на финансово-хозяйственную деятельность и финансовое положение группы эмитента.</w:t>
      </w:r>
      <w:r w:rsidRPr="003F3282">
        <w:br/>
        <w:t>Информация, раскрываемая в настоящем пункте, должна объективно и достоверно описывать риски, относящиеся к эмитенту (группе эмитента), с указанием возможных последствий реализации каждого из описанных рисков применительно к эмитенту (группе эмитента) с учетом специфики деятельности эмитента (группы эмитента).</w:t>
      </w:r>
      <w:r w:rsidRPr="003F3282">
        <w:br/>
        <w:t>Для детализированного представления информации эмитент может приводить сведения о рисках в отношении выделяемых сегментов операционной деятельности, видов товаров (работ, услуг), географии ведения бизнеса, иных аспектов, характеризующих специфику деятельности эмитента (группы эмитента).</w:t>
      </w:r>
      <w:r w:rsidRPr="003F3282">
        <w:br/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1.9.1. Отраслевые риски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 xml:space="preserve">Наиболее значимыми возможными изменениями в отрасли являются следующие: </w:t>
      </w:r>
      <w:r w:rsidRPr="003F3282">
        <w:rPr>
          <w:rStyle w:val="Subst"/>
          <w:bCs/>
          <w:iCs/>
        </w:rPr>
        <w:br/>
        <w:t xml:space="preserve">— общее замедление темпов роста отрасли; </w:t>
      </w:r>
      <w:r w:rsidRPr="003F3282">
        <w:rPr>
          <w:rStyle w:val="Subst"/>
          <w:bCs/>
          <w:iCs/>
        </w:rPr>
        <w:br/>
        <w:t xml:space="preserve">— изменение цен на сырье и материалы; </w:t>
      </w:r>
      <w:r w:rsidRPr="003F3282">
        <w:rPr>
          <w:rStyle w:val="Subst"/>
          <w:bCs/>
          <w:iCs/>
        </w:rPr>
        <w:br/>
        <w:t xml:space="preserve">— нарушение сроков поставок сырья и материалов; </w:t>
      </w:r>
      <w:r w:rsidRPr="003F3282">
        <w:rPr>
          <w:rStyle w:val="Subst"/>
          <w:bCs/>
          <w:iCs/>
        </w:rPr>
        <w:br/>
        <w:t xml:space="preserve">— появление новых предприятий — конкурентов; </w:t>
      </w:r>
      <w:r w:rsidRPr="003F3282">
        <w:rPr>
          <w:rStyle w:val="Subst"/>
          <w:bCs/>
          <w:iCs/>
        </w:rPr>
        <w:br/>
        <w:t xml:space="preserve">— изменение внутренней и внешней рыночной конъюнктуры. </w:t>
      </w:r>
      <w:r w:rsidRPr="003F3282">
        <w:rPr>
          <w:rStyle w:val="Subst"/>
          <w:bCs/>
          <w:iCs/>
        </w:rPr>
        <w:br/>
        <w:t>Данные изменения приводят к переменам в соотношении цена-качество, а также в</w:t>
      </w:r>
      <w:r w:rsidRPr="003F3282">
        <w:rPr>
          <w:rStyle w:val="Subst"/>
          <w:bCs/>
          <w:iCs/>
        </w:rPr>
        <w:br/>
        <w:t xml:space="preserve">номенклатуре выпускаемой продукции.  </w:t>
      </w:r>
      <w:r w:rsidRPr="003F3282">
        <w:rPr>
          <w:rStyle w:val="Subst"/>
          <w:bCs/>
          <w:iCs/>
        </w:rPr>
        <w:br/>
        <w:t xml:space="preserve">В целях сокращения негативного влияния вышеуказанных факторов ПАО «ТЗА»: </w:t>
      </w:r>
      <w:r w:rsidRPr="003F3282">
        <w:rPr>
          <w:rStyle w:val="Subst"/>
          <w:bCs/>
          <w:iCs/>
        </w:rPr>
        <w:br/>
        <w:t xml:space="preserve">- увеличивает долю реализации путем расширения дилерской сети, повышения качества продукции, а также снижения уровня потерь от брака; </w:t>
      </w:r>
      <w:r w:rsidRPr="003F3282">
        <w:rPr>
          <w:rStyle w:val="Subst"/>
          <w:bCs/>
          <w:iCs/>
        </w:rPr>
        <w:br/>
        <w:t>-  ведет постоянную работу с поставщиками по ценовой политике на поставляемую продукцию, осуществляется поиск альтернативных поставщиков.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1.9.2. Страновые и региональные риски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В связи с кризисными явлениями в мировой экономике и резким ухудшением международной обстановки, страновые и региональные риски значительно выросли.</w:t>
      </w:r>
      <w:r w:rsidRPr="003F3282">
        <w:rPr>
          <w:rStyle w:val="Subst"/>
          <w:bCs/>
          <w:iCs/>
        </w:rPr>
        <w:br/>
        <w:t xml:space="preserve">Политическая и экономическая ситуация в Российской Федерации в настоящее время оценивается как неустойчивая. Безусловно, складывающиеся политическая и экономическая обстановка и в регионах, входящих в сферу интересов ПАО «ТЗА», оказывают непосредственное влияние на процессы по освоению новых рынков сбыта продукции предприятия. </w:t>
      </w:r>
      <w:r w:rsidRPr="003F3282">
        <w:rPr>
          <w:rStyle w:val="Subst"/>
          <w:bCs/>
          <w:iCs/>
        </w:rPr>
        <w:br/>
        <w:t>Одним из существенных рисков является потеря стратегического партнерства с производителями комплектующих изделий.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1.9.3. Финансовые риски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Инфляционные процессы в экономике России. Увеличение себестоимости техники вследствие повышения курса (доллара и евро), может привести к падению объёмов реализации, неготовности покупателей оплачивать разницу в цене. Для снижения финансового риска ПАО «ТЗА» предусматривает программу импортозамещения и локализации производства. Осуществляется работа по снижению дебиторской и кредиторской</w:t>
      </w:r>
      <w:r w:rsidRPr="003F3282">
        <w:rPr>
          <w:rStyle w:val="Subst"/>
          <w:bCs/>
          <w:iCs/>
        </w:rPr>
        <w:br/>
        <w:t xml:space="preserve">задолженности. </w:t>
      </w:r>
      <w:r w:rsidRPr="003F3282">
        <w:rPr>
          <w:rStyle w:val="Subst"/>
          <w:bCs/>
          <w:iCs/>
        </w:rPr>
        <w:br/>
        <w:t>Ценовое давление конкурентов. Вероятность незначительна, структура себестоимости имеет четкие пропорции, которые складывались годами. Превосходство над конкурентами достигается за счет более взвешенной ценовой политики, улучшения качества изготавливаемого оборудования и снижения затрат благодаря применению новых технологий и материалов, современной оснастки и оборудования, предложения заказчику расширенной</w:t>
      </w:r>
      <w:r w:rsidRPr="003F3282">
        <w:rPr>
          <w:rStyle w:val="Subst"/>
          <w:bCs/>
          <w:iCs/>
        </w:rPr>
        <w:br/>
        <w:t xml:space="preserve">продуктовой линейки. </w:t>
      </w:r>
      <w:r w:rsidRPr="003F3282">
        <w:rPr>
          <w:rStyle w:val="Subst"/>
          <w:bCs/>
          <w:iCs/>
        </w:rPr>
        <w:br/>
        <w:t>Снижение спроса на технику ПАО «ТЗА» в результате дальнейшего замедления роста российской экономики, строительства и завершения крупных строительных проектов. Для снижения влияния данного фактора ПАО «ТЗА» предусматривает расширение продуктовой линейки.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1.9.4. Правовые риски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 xml:space="preserve">Риски, связанные с изменением валютного регулирования. Изменение правил валютного регулирования может привести к увеличению расходов ПАО «ТЗА» и уменьшению чистой прибыли, направляемой на финансирование текущей деятельности. Риски, связанные с изменением налогового законодательства. Деятельность Эмитента построена на принципах открытости и добросовестности информации перед налоговыми органами. Изменения законодательства о налогах и сборах, дополнениям и уточнениям, касающиеся общих вопросов налогообложения и порядка исчисления и уплаты отдельных налогов может затруднить составление средне- и долгосрочных прогнозов деятельности. </w:t>
      </w:r>
      <w:r w:rsidRPr="003F3282">
        <w:rPr>
          <w:rStyle w:val="Subst"/>
          <w:bCs/>
          <w:iCs/>
        </w:rPr>
        <w:br/>
        <w:t xml:space="preserve">Неоднозначность трактовок существующих нормативных актов налогового законодательства может привести к возникновению налоговых претензий. Риски, связанные с изменением таможенного контроля и пошлин: </w:t>
      </w:r>
      <w:r w:rsidRPr="003F3282">
        <w:rPr>
          <w:rStyle w:val="Subst"/>
          <w:bCs/>
          <w:iCs/>
        </w:rPr>
        <w:br/>
        <w:t xml:space="preserve">Деятельность Эмитента подвержена рискам, связанным с изменением правил таможенного контроля и пошлин, в частности: - риску повышения таможенных пошлин в странах, куда экспортируется продукция ПАО «ТЗА»; </w:t>
      </w:r>
      <w:r w:rsidRPr="003F3282">
        <w:rPr>
          <w:rStyle w:val="Subst"/>
          <w:bCs/>
          <w:iCs/>
        </w:rPr>
        <w:br/>
        <w:t xml:space="preserve">- риску ужесточения санкций за возможные таможенные нарушения; </w:t>
      </w:r>
      <w:r w:rsidRPr="003F3282">
        <w:rPr>
          <w:rStyle w:val="Subst"/>
          <w:bCs/>
          <w:iCs/>
        </w:rPr>
        <w:br/>
        <w:t xml:space="preserve">- риску изменения законодательства, правил таможенного контроля и пошлин, требований лицензирования в странах-импортерах. </w:t>
      </w:r>
      <w:r w:rsidRPr="003F3282">
        <w:rPr>
          <w:rStyle w:val="Subst"/>
          <w:bCs/>
          <w:iCs/>
        </w:rPr>
        <w:br/>
        <w:t>Риски, связанные с изменением судебной практики по вопросам, связанным с деятельностью эмитента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эмитент: ПАО «ТЗА» не участвует в судебных процессах, которые могли бы существенным образом негативно сказаться на его финансово-хозяйственной деятельности. Однако изменения судебной практики по вопросам, касающимся налогообложения, лицензирования, защиты имущественных прав и по другим вопросам, имеющим существенное значение для деятельности ПАО «ТЗА», могут негативно сказаться на результатах деятельности эмитента, в случае, если соответствующие споры возникнут.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1.9.5. Риск потери деловой репутации (репутационный риск)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 xml:space="preserve">Риск потери деловой репутации —  риск возникновения у ПАО «ТЗА» потерь в результате уменьшения числа заказчиков (контрагентов) вследствие формирования в обществе негативного представления о предприятии, его руководстве (акционерах), качестве оказываемых им услуг или характере деятельности в целом.  </w:t>
      </w:r>
      <w:r w:rsidRPr="003F3282">
        <w:rPr>
          <w:rStyle w:val="Subst"/>
          <w:bCs/>
          <w:iCs/>
        </w:rPr>
        <w:br/>
        <w:t xml:space="preserve">Целью управления репутационным риском является снижение  возможных убытков, сохранение и поддержание деловой репутации Общества, повышение качества выпускаемой продукции, сохранение и поддержание деловой репутации ПАО «ТЗА» перед заказчиками и контрагентами, акционерами, участниками финансового рынка, органами государственной власти и местного самоуправления, банковскими союзами (ассоциациями). </w:t>
      </w:r>
      <w:r w:rsidRPr="003F3282">
        <w:rPr>
          <w:rStyle w:val="Subst"/>
          <w:bCs/>
          <w:iCs/>
        </w:rPr>
        <w:br/>
        <w:t>Проводятся постоянные мероприятия, направленные на улучшение качества и потребительских характеристик продукции, повышение безопасности труда и охраны здоровья сотрудников, а также снижение негативного воздействия на окружающую среду.</w:t>
      </w:r>
      <w:r w:rsidRPr="003F3282">
        <w:rPr>
          <w:rStyle w:val="Subst"/>
          <w:bCs/>
          <w:iCs/>
        </w:rPr>
        <w:br/>
        <w:t>Риск потери деловой репутации зависит в основном от своевременности выполнения заказов, качества производимой продукции и проводимой ценовой политики.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1.9.6. Стратегический риск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 xml:space="preserve">Основной целью управления стратегическим риском является минимизация событий и неправильных управленческих решений, которые могут </w:t>
      </w:r>
      <w:proofErr w:type="spellStart"/>
      <w:r w:rsidRPr="003F3282">
        <w:rPr>
          <w:rStyle w:val="Subst"/>
          <w:bCs/>
          <w:iCs/>
        </w:rPr>
        <w:t>ущественно</w:t>
      </w:r>
      <w:proofErr w:type="spellEnd"/>
      <w:r w:rsidRPr="003F3282">
        <w:rPr>
          <w:rStyle w:val="Subst"/>
          <w:bCs/>
          <w:iCs/>
        </w:rPr>
        <w:t xml:space="preserve"> повлиять на деятельность Общества и повлечь за собой убытки. </w:t>
      </w:r>
      <w:r w:rsidRPr="003F3282">
        <w:rPr>
          <w:rStyle w:val="Subst"/>
          <w:bCs/>
          <w:iCs/>
        </w:rPr>
        <w:br/>
        <w:t xml:space="preserve"> Совет директоров регулярно пересматривает действенность реализуемых согласно бизнес-плану эмитента мероприятий с целью повышения эффективности стратегического планирования ПАО «ТЗА», проводит оценку рисков в производственной и в финансово-хозяйственной деятельности с целью минимизации негативных воздействий, проводит анализ эффективности реализованных проектов и изменений по итогам их введения. </w:t>
      </w:r>
      <w:r w:rsidRPr="003F3282">
        <w:rPr>
          <w:rStyle w:val="Subst"/>
          <w:bCs/>
          <w:iCs/>
        </w:rPr>
        <w:br/>
        <w:t>Меры по управлению стратегическими рисками является осуществление на регулярной основе мониторинга макроэкономической ситуации, прогнозирование развития отрасли, подготовка сценариев и анализ рисков ПАО «ТЗА, на основании чего выявляются наиболее</w:t>
      </w:r>
      <w:r w:rsidRPr="003F3282">
        <w:rPr>
          <w:rStyle w:val="Subst"/>
          <w:bCs/>
          <w:iCs/>
        </w:rPr>
        <w:br/>
        <w:t xml:space="preserve">чувствительные к изменению макроэкономических параметров активы и инвестиционные проекты.  </w:t>
      </w:r>
      <w:r w:rsidRPr="003F3282">
        <w:rPr>
          <w:rStyle w:val="Subst"/>
          <w:bCs/>
          <w:iCs/>
        </w:rPr>
        <w:br/>
        <w:t xml:space="preserve">По результатам анализа принимаются необходимые управленческие решения. </w:t>
      </w:r>
      <w:r w:rsidRPr="003F3282">
        <w:rPr>
          <w:rStyle w:val="Subst"/>
          <w:bCs/>
          <w:iCs/>
        </w:rPr>
        <w:br/>
        <w:t xml:space="preserve">Основные стратегии ПАО «ТЗА»: </w:t>
      </w:r>
      <w:r w:rsidRPr="003F3282">
        <w:rPr>
          <w:rStyle w:val="Subst"/>
          <w:bCs/>
          <w:iCs/>
        </w:rPr>
        <w:br/>
        <w:t xml:space="preserve">- укрепление доминирующей роли на российском рынке автобетоносмесителей; </w:t>
      </w:r>
      <w:r w:rsidRPr="003F3282">
        <w:rPr>
          <w:rStyle w:val="Subst"/>
          <w:bCs/>
          <w:iCs/>
        </w:rPr>
        <w:br/>
        <w:t>-  сохранение устойчивого положения на рынке бетононасосной техники, прицепной и</w:t>
      </w:r>
      <w:r w:rsidRPr="003F3282">
        <w:rPr>
          <w:rStyle w:val="Subst"/>
          <w:bCs/>
          <w:iCs/>
        </w:rPr>
        <w:br/>
      </w:r>
      <w:r w:rsidRPr="003F3282">
        <w:rPr>
          <w:rStyle w:val="Subst"/>
          <w:bCs/>
          <w:iCs/>
        </w:rPr>
        <w:lastRenderedPageBreak/>
        <w:t xml:space="preserve">полуприцепной техники на российском рынке; </w:t>
      </w:r>
      <w:r w:rsidRPr="003F3282">
        <w:rPr>
          <w:rStyle w:val="Subst"/>
          <w:bCs/>
          <w:iCs/>
        </w:rPr>
        <w:br/>
        <w:t>-  укрепление позиции компании как надежного и социально-ответственного</w:t>
      </w:r>
      <w:r w:rsidRPr="003F3282">
        <w:rPr>
          <w:rStyle w:val="Subst"/>
          <w:bCs/>
          <w:iCs/>
        </w:rPr>
        <w:br/>
        <w:t>работодателя.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1.9.7. Риски, связанные с деятельностью эмитента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Технологические и производственные риски Качество выпускаемой продукции. Главным средством для снижения данного риска является система менеджмента качества и выполнение всех поставленных целей, повышение конкурентоспособности производимой техники по соотношению «цена-качество». Неактуальность модельного ряда. Помимо выпуска традиционной продукции, активно развиваем направление прицепной техники для различных отраслей экономики, ведем деятельность по освоению новых рынков и расширение старых путем предложения нового продукта. Ведутся работы по импортозамещению и локализации. Проводится замена зарубежных материалов и покупных комплектующих на отечественные аналоги. С положительным результатом идет замена дорогостоящих компонентов на узлы и детали собственной разработки и собственного производства.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1.9.8. Риск информационной безопасности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 xml:space="preserve">Под информационной безопасностью (ИБ) понимается защищенность информации и средств её обработки от случайных или преднамеренных воздействий естественного или искусственного характера. Основной целью деятельности по обеспечению ИБ является достижение адекватной защищенности бизнес-процессов Эмитента, которая достигается посредством обеспечения и постоянного поддержания конфиденциальности информации Эмитента. </w:t>
      </w:r>
      <w:r w:rsidRPr="003F3282">
        <w:rPr>
          <w:rStyle w:val="Subst"/>
          <w:bCs/>
          <w:iCs/>
        </w:rPr>
        <w:br/>
        <w:t xml:space="preserve">Для достижения информационной безопасности необходимо решение следующих задач: </w:t>
      </w:r>
      <w:r w:rsidRPr="003F3282">
        <w:rPr>
          <w:rStyle w:val="Subst"/>
          <w:bCs/>
          <w:iCs/>
        </w:rPr>
        <w:br/>
        <w:t>• определение рисков ИБ и потенциальных возможностей;</w:t>
      </w:r>
      <w:r w:rsidRPr="003F3282">
        <w:rPr>
          <w:rStyle w:val="Subst"/>
          <w:bCs/>
          <w:iCs/>
        </w:rPr>
        <w:br/>
        <w:t xml:space="preserve">• формирование и совершенствование системы управления информационной безопасности, в том числе процессов оценки и анализа ИБ; </w:t>
      </w:r>
      <w:r w:rsidRPr="003F3282">
        <w:rPr>
          <w:rStyle w:val="Subst"/>
          <w:bCs/>
          <w:iCs/>
        </w:rPr>
        <w:br/>
        <w:t xml:space="preserve">• определение и документирование основных требований и процедур обеспечения ИБ; </w:t>
      </w:r>
      <w:r w:rsidRPr="003F3282">
        <w:rPr>
          <w:rStyle w:val="Subst"/>
          <w:bCs/>
          <w:iCs/>
        </w:rPr>
        <w:br/>
        <w:t xml:space="preserve">• внедрение и настройка средств защиты информации; </w:t>
      </w:r>
      <w:r w:rsidRPr="003F3282">
        <w:rPr>
          <w:rStyle w:val="Subst"/>
          <w:bCs/>
          <w:iCs/>
        </w:rPr>
        <w:br/>
        <w:t xml:space="preserve">• уменьшение до приемлемого уровня возможного ущерба при реализации угроз ИБ, в том числе сокращение времени восстановления бизнес-процессов после возможных прерываний; </w:t>
      </w:r>
      <w:r w:rsidRPr="003F3282">
        <w:rPr>
          <w:rStyle w:val="Subst"/>
          <w:bCs/>
          <w:iCs/>
        </w:rPr>
        <w:br/>
        <w:t xml:space="preserve">• планирование и оптимизация затрат на обеспечение информационной безопасности Основными принципами обеспечения информационной безопасности являются: </w:t>
      </w:r>
      <w:r w:rsidRPr="003F3282">
        <w:rPr>
          <w:rStyle w:val="Subst"/>
          <w:bCs/>
          <w:iCs/>
        </w:rPr>
        <w:br/>
        <w:t xml:space="preserve">• законность – применение мер и средств обеспечения ИБ в строгом соответствии с положениями действующего законодательства Российской Федерации в области ИБ; </w:t>
      </w:r>
      <w:r w:rsidRPr="003F3282">
        <w:rPr>
          <w:rStyle w:val="Subst"/>
          <w:bCs/>
          <w:iCs/>
        </w:rPr>
        <w:br/>
        <w:t xml:space="preserve">• системность – учет всех взаимосвязанных, взаимодействующих и изменяющихся во времени элементов, условий и факторов, значимых для обеспечения ИБ Эмитента; </w:t>
      </w:r>
      <w:r w:rsidRPr="003F3282">
        <w:rPr>
          <w:rStyle w:val="Subst"/>
          <w:bCs/>
          <w:iCs/>
        </w:rPr>
        <w:br/>
        <w:t xml:space="preserve">• непрерывность защиты – деятельность по обеспечению ИБ является составной частью повседневной деятельности Эмитента и не должна прерываться, в том числе должна обеспечиваться постоянная поддержка физических, технических и программных средств защиты, а также непрерывный контроль выполнения требований ИБ; </w:t>
      </w:r>
      <w:r w:rsidRPr="003F3282">
        <w:rPr>
          <w:rStyle w:val="Subst"/>
          <w:bCs/>
          <w:iCs/>
        </w:rPr>
        <w:br/>
        <w:t xml:space="preserve">• своевременность – своевременно обнаруживать угрозы ИБ, прогнозировать возможные пути их развития, оценивать степень влияния на бизнес-процессы; </w:t>
      </w:r>
      <w:r w:rsidRPr="003F3282">
        <w:rPr>
          <w:rStyle w:val="Subst"/>
          <w:bCs/>
          <w:iCs/>
        </w:rPr>
        <w:br/>
        <w:t>• персональная ответственность – ответственность за соблюдение требований ИБ возлагается на каждого работника Эмитента в пределах его полномочий.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1.9.9. Экологический риск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proofErr w:type="spellStart"/>
      <w:r w:rsidRPr="003F3282">
        <w:rPr>
          <w:rStyle w:val="Subst"/>
          <w:bCs/>
          <w:iCs/>
        </w:rPr>
        <w:t>Cущественные</w:t>
      </w:r>
      <w:proofErr w:type="spellEnd"/>
      <w:r w:rsidRPr="003F3282">
        <w:rPr>
          <w:rStyle w:val="Subst"/>
          <w:bCs/>
          <w:iCs/>
        </w:rPr>
        <w:t xml:space="preserve"> для деятельности эмитента (группы эмитента) риски данного вида отсутствуют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1.9.10. Природно-климатический риск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proofErr w:type="spellStart"/>
      <w:r w:rsidRPr="003F3282">
        <w:rPr>
          <w:rStyle w:val="Subst"/>
          <w:bCs/>
          <w:iCs/>
        </w:rPr>
        <w:t>Cущественные</w:t>
      </w:r>
      <w:proofErr w:type="spellEnd"/>
      <w:r w:rsidRPr="003F3282">
        <w:rPr>
          <w:rStyle w:val="Subst"/>
          <w:bCs/>
          <w:iCs/>
        </w:rPr>
        <w:t xml:space="preserve"> для деятельности эмитента (группы эмитента) риски данного вида отсутствуют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1.9.11. Риски кредитных организаций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Эмитент не является кредитной организацией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1.9.12. Иные риски, которые являются существенными для эмитента (группы эмитента)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proofErr w:type="spellStart"/>
      <w:r w:rsidRPr="003F3282">
        <w:rPr>
          <w:rStyle w:val="Subst"/>
          <w:bCs/>
          <w:iCs/>
        </w:rPr>
        <w:t>Cущественные</w:t>
      </w:r>
      <w:proofErr w:type="spellEnd"/>
      <w:r w:rsidRPr="003F3282">
        <w:rPr>
          <w:rStyle w:val="Subst"/>
          <w:bCs/>
          <w:iCs/>
        </w:rPr>
        <w:t xml:space="preserve"> для деятельности эмитента (группы эмитента) риски данного вида отсутствуют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530CC">
      <w:pPr>
        <w:pStyle w:val="1"/>
        <w:spacing w:before="0" w:after="0"/>
        <w:contextualSpacing/>
        <w:rPr>
          <w:sz w:val="20"/>
          <w:szCs w:val="20"/>
        </w:rPr>
      </w:pPr>
      <w:r w:rsidRPr="003F3282">
        <w:rPr>
          <w:sz w:val="20"/>
          <w:szCs w:val="20"/>
        </w:rPr>
        <w:t xml:space="preserve"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</w:t>
      </w:r>
      <w:r w:rsidRPr="003F3282">
        <w:rPr>
          <w:sz w:val="20"/>
          <w:szCs w:val="20"/>
        </w:rPr>
        <w:lastRenderedPageBreak/>
        <w:t>эмитента</w:t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2.1. Информация о лицах, входящих в состав органов управления эмитента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B82B2A" w:rsidRPr="003F3282" w:rsidRDefault="00B82B2A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bookmarkStart w:id="3" w:name="_Toc178321141"/>
      <w:r w:rsidRPr="003F3282">
        <w:rPr>
          <w:sz w:val="20"/>
          <w:szCs w:val="20"/>
        </w:rPr>
        <w:t>2.1.1. Состав совета директоров (наблюдательного совета) эмитента</w:t>
      </w:r>
      <w:bookmarkEnd w:id="3"/>
    </w:p>
    <w:p w:rsid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bookmarkStart w:id="4" w:name="_Toc178321142"/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D530CC" w:rsidRPr="00D530CC" w:rsidRDefault="00D530CC" w:rsidP="00D530CC"/>
    <w:p w:rsidR="00B82B2A" w:rsidRPr="00A76A71" w:rsidRDefault="00B82B2A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A76A71">
        <w:rPr>
          <w:sz w:val="20"/>
          <w:szCs w:val="20"/>
        </w:rPr>
        <w:t>2.1.2. Информация о единоличном исполнительном органе эмитента</w:t>
      </w:r>
      <w:bookmarkEnd w:id="4"/>
    </w:p>
    <w:p w:rsid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D530CC" w:rsidRPr="00D530CC" w:rsidRDefault="00D530CC" w:rsidP="00D530CC"/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2.1.3. Состав коллегиального исполнительного органа эмитента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Коллегиальный исполнительный орган не предусмотрен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Основные положения политики в области вознаграждения и (или) компенсации расходов членов органов управления эмитента:</w:t>
      </w:r>
      <w:r w:rsidRPr="003F3282">
        <w:br/>
      </w:r>
      <w:r w:rsidRPr="003F3282">
        <w:rPr>
          <w:rStyle w:val="Subst"/>
          <w:bCs/>
          <w:iCs/>
        </w:rPr>
        <w:t>Согласно Положению о Совете директоров ПАО «ТЗА» вознаграждение и компенсации расходов, связанные с исполнением функций  членов Совета директоров, а также размер таких вознаграждений и компенсаций, устанавливаются решением Общего собрания акционеров. На годовом Общем собрании акционеров ПАО «ТЗА» 19 июня 2024 года вопрос о выплате вознаграждения членам Совета директоров не рассматривался.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Вознаграждения</w:t>
      </w:r>
    </w:p>
    <w:p w:rsidR="00017D6E" w:rsidRPr="003F3282" w:rsidRDefault="00017D6E" w:rsidP="00DD2EC1">
      <w:pPr>
        <w:pStyle w:val="SubHeading"/>
        <w:spacing w:before="0" w:after="0"/>
        <w:ind w:left="400"/>
        <w:contextualSpacing/>
        <w:jc w:val="both"/>
      </w:pPr>
      <w:r w:rsidRPr="003F3282">
        <w:t>Совет директоров</w:t>
      </w:r>
    </w:p>
    <w:p w:rsidR="00017D6E" w:rsidRPr="003F3282" w:rsidRDefault="00017D6E" w:rsidP="00DD2EC1">
      <w:pPr>
        <w:spacing w:before="0" w:after="0"/>
        <w:ind w:left="600"/>
        <w:contextualSpacing/>
        <w:jc w:val="both"/>
      </w:pPr>
      <w:r w:rsidRPr="003F3282">
        <w:t>Единица измерения:</w:t>
      </w:r>
      <w:r w:rsidRPr="003F3282">
        <w:rPr>
          <w:rStyle w:val="Subst"/>
          <w:bCs/>
          <w:iCs/>
        </w:rPr>
        <w:t xml:space="preserve"> тыс. руб.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2760"/>
      </w:tblGrid>
      <w:tr w:rsidR="00017D6E" w:rsidRPr="003F3282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Вознаграждение за участие в работе органа управления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Заработная плата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Премии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Комиссионные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Иные виды вознаграждений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ИТОГО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</w:tbl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Компенсации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Единица измерения:</w:t>
      </w:r>
      <w:r w:rsidRPr="003F3282">
        <w:rPr>
          <w:rStyle w:val="Subst"/>
          <w:bCs/>
          <w:iCs/>
        </w:rPr>
        <w:t xml:space="preserve"> тыс. руб.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92"/>
        <w:gridCol w:w="2760"/>
      </w:tblGrid>
      <w:tr w:rsidR="00017D6E" w:rsidRPr="003F3282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органа управления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2024, 12 мес.</w:t>
            </w:r>
          </w:p>
        </w:tc>
      </w:tr>
      <w:tr w:rsidR="00017D6E" w:rsidRPr="003F3282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Совет директоров (наблюдательный совет)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0</w:t>
            </w:r>
          </w:p>
        </w:tc>
      </w:tr>
    </w:tbl>
    <w:p w:rsidR="00017D6E" w:rsidRDefault="00017D6E" w:rsidP="00DD2EC1">
      <w:pPr>
        <w:spacing w:before="0" w:after="0"/>
        <w:ind w:left="4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Отсутствует</w:t>
      </w:r>
    </w:p>
    <w:p w:rsidR="00D530CC" w:rsidRPr="003F3282" w:rsidRDefault="00D530CC" w:rsidP="00DD2EC1">
      <w:pPr>
        <w:spacing w:before="0" w:after="0"/>
        <w:ind w:left="4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 w:rsidRPr="003F3282">
        <w:br/>
      </w:r>
      <w:r w:rsidRPr="003F3282">
        <w:rPr>
          <w:rStyle w:val="Subst"/>
          <w:bCs/>
          <w:iCs/>
        </w:rPr>
        <w:t>Контроль финансово-хозяйственной деятельности ПАО "ТЗА" осуществляют Ревизионная комиссия ПАО "ТЗА" и независимый аудитор.</w:t>
      </w:r>
      <w:r w:rsidRPr="003F3282">
        <w:rPr>
          <w:rStyle w:val="Subst"/>
          <w:bCs/>
          <w:iCs/>
        </w:rPr>
        <w:br/>
        <w:t xml:space="preserve">Деятельность внутреннего аудита осуществляется согласно Плану деятельности внутреннего аудита на 2024 г., утвержденного Советом директоров Общества 28.12.2023 г. (протокол заседания № 1 (245)). </w:t>
      </w:r>
      <w:r w:rsidRPr="003F3282">
        <w:rPr>
          <w:rStyle w:val="Subst"/>
          <w:bCs/>
          <w:iCs/>
        </w:rPr>
        <w:br/>
        <w:t xml:space="preserve">В Обществе действует Политика в области управления рисками и внутреннего контроля ПАО «ТЗА», утвержденная Советом директоров (протокол №4 (228) от 29.09.2022) (далее – Политика), согласно которой: </w:t>
      </w:r>
      <w:r w:rsidRPr="003F3282">
        <w:rPr>
          <w:rStyle w:val="Subst"/>
          <w:bCs/>
          <w:iCs/>
        </w:rPr>
        <w:br/>
        <w:t xml:space="preserve">a) решения об управлении рисками принимаются на различных уровнях управления Общества в зависимости от значимости рисков. </w:t>
      </w:r>
      <w:r w:rsidRPr="003F3282">
        <w:rPr>
          <w:rStyle w:val="Subst"/>
          <w:bCs/>
          <w:iCs/>
        </w:rPr>
        <w:br/>
      </w:r>
      <w:r w:rsidRPr="003F3282">
        <w:rPr>
          <w:rStyle w:val="Subst"/>
          <w:bCs/>
          <w:iCs/>
        </w:rPr>
        <w:lastRenderedPageBreak/>
        <w:t>b) для каждого уровня существует порог принятия решений по утверждению перечня рисков, мероприятий по снижению риска и иных решений, принимаемых в рамках управления рисками.</w:t>
      </w:r>
      <w:r w:rsidRPr="003F3282">
        <w:rPr>
          <w:rStyle w:val="Subst"/>
          <w:bCs/>
          <w:iCs/>
        </w:rPr>
        <w:br/>
        <w:t>В обществе образован комитет по аудиту совета директоров (наблюдательного совета)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Основные функции комитета по аудиту совета директоров (наблюдательного совета):</w:t>
      </w:r>
      <w:r w:rsidRPr="003F3282">
        <w:br/>
      </w:r>
      <w:r w:rsidRPr="003F3282">
        <w:rPr>
          <w:rStyle w:val="Subst"/>
          <w:bCs/>
          <w:iCs/>
        </w:rPr>
        <w:t>Комитет создается в целях содействия эффективному выполнению Советом директоров Общества своих функций путем предварительного рассмотрения вопросов, касающихся:</w:t>
      </w:r>
      <w:r w:rsidRPr="003F3282">
        <w:rPr>
          <w:rStyle w:val="Subst"/>
          <w:bCs/>
          <w:iCs/>
        </w:rPr>
        <w:br/>
        <w:t>-  планирования финансово-хозяйственной деятельности Общества;</w:t>
      </w:r>
      <w:r w:rsidRPr="003F3282">
        <w:rPr>
          <w:rStyle w:val="Subst"/>
          <w:bCs/>
          <w:iCs/>
        </w:rPr>
        <w:br/>
        <w:t>-  контроля за финансово-хозяйственной деятельностью Общества;</w:t>
      </w:r>
      <w:r w:rsidRPr="003F3282">
        <w:rPr>
          <w:rStyle w:val="Subst"/>
          <w:bCs/>
          <w:iCs/>
        </w:rPr>
        <w:br/>
        <w:t>- финансово-экономического управления в Обществе;</w:t>
      </w:r>
      <w:r w:rsidRPr="003F3282">
        <w:rPr>
          <w:rStyle w:val="Subst"/>
          <w:bCs/>
          <w:iCs/>
        </w:rPr>
        <w:br/>
        <w:t>- финансовой политики Общества;</w:t>
      </w:r>
      <w:r w:rsidRPr="003F3282">
        <w:rPr>
          <w:rStyle w:val="Subst"/>
          <w:bCs/>
          <w:iCs/>
        </w:rPr>
        <w:br/>
        <w:t>- корпоративных решений, оказывающих существенное влияние на финансовое состояние Общества.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Члены комитета по аудиту совета директоров (наблюдательного совета)</w:t>
      </w:r>
    </w:p>
    <w:p w:rsidR="00A76A71" w:rsidRP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017D6E" w:rsidRPr="003F3282" w:rsidRDefault="00017D6E" w:rsidP="00DD2EC1">
      <w:pPr>
        <w:spacing w:before="0" w:after="0"/>
        <w:contextualSpacing/>
        <w:jc w:val="both"/>
      </w:pP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 w:rsidRPr="003F3282">
        <w:br/>
      </w:r>
      <w:r w:rsidRPr="003F3282">
        <w:rPr>
          <w:rStyle w:val="Subst"/>
          <w:bCs/>
          <w:iCs/>
        </w:rPr>
        <w:t>В ПАО «ТЗА» внедрена формализованная система управления рисками, предусматривающая четкое разделение полномочий и обязанностей участников системы управления рисками.</w:t>
      </w:r>
      <w:r w:rsidRPr="003F3282">
        <w:rPr>
          <w:rStyle w:val="Subst"/>
          <w:bCs/>
          <w:iCs/>
        </w:rPr>
        <w:br/>
        <w:t>Совет директоров Общества:</w:t>
      </w:r>
      <w:r w:rsidRPr="003F3282">
        <w:rPr>
          <w:rStyle w:val="Subst"/>
          <w:bCs/>
          <w:iCs/>
        </w:rPr>
        <w:br/>
        <w:t>- Определение эффективности подхода ПАО «ТЗА» к управлению рисками при ежегодном утверждении бизнес-плана и программы стратегического развития Общества.</w:t>
      </w:r>
      <w:r w:rsidRPr="003F3282">
        <w:rPr>
          <w:rStyle w:val="Subst"/>
          <w:bCs/>
          <w:iCs/>
        </w:rPr>
        <w:br/>
        <w:t>Генеральный директор Общества:</w:t>
      </w:r>
      <w:r w:rsidRPr="003F3282">
        <w:rPr>
          <w:rStyle w:val="Subst"/>
          <w:bCs/>
          <w:iCs/>
        </w:rPr>
        <w:br/>
        <w:t xml:space="preserve">- Организация эффективного управления рисками Общества, разрешение </w:t>
      </w:r>
      <w:proofErr w:type="spellStart"/>
      <w:r w:rsidRPr="003F3282">
        <w:rPr>
          <w:rStyle w:val="Subst"/>
          <w:bCs/>
          <w:iCs/>
        </w:rPr>
        <w:t>межфункциональных</w:t>
      </w:r>
      <w:proofErr w:type="spellEnd"/>
      <w:r w:rsidRPr="003F3282">
        <w:rPr>
          <w:rStyle w:val="Subst"/>
          <w:bCs/>
          <w:iCs/>
        </w:rPr>
        <w:t xml:space="preserve"> задач по управлению рисками.</w:t>
      </w:r>
      <w:r w:rsidRPr="003F3282">
        <w:rPr>
          <w:rStyle w:val="Subst"/>
          <w:bCs/>
          <w:iCs/>
        </w:rPr>
        <w:br/>
        <w:t>Служба внутреннего аудита:</w:t>
      </w:r>
      <w:r w:rsidRPr="003F3282">
        <w:rPr>
          <w:rStyle w:val="Subst"/>
          <w:bCs/>
          <w:iCs/>
        </w:rPr>
        <w:br/>
        <w:t>- Независимая оценка эффективности системы управления рисками и внутреннего контроля, мероприятий по управлению рисками.</w:t>
      </w:r>
      <w:r w:rsidRPr="003F3282">
        <w:rPr>
          <w:rStyle w:val="Subst"/>
          <w:bCs/>
          <w:iCs/>
        </w:rPr>
        <w:br/>
        <w:t xml:space="preserve"> Владельцы рисков:</w:t>
      </w:r>
      <w:r w:rsidRPr="003F3282">
        <w:rPr>
          <w:rStyle w:val="Subst"/>
          <w:bCs/>
          <w:iCs/>
        </w:rPr>
        <w:br/>
        <w:t>- Выявление, оценка и управление рисками;</w:t>
      </w:r>
      <w:r w:rsidRPr="003F3282">
        <w:rPr>
          <w:rStyle w:val="Subst"/>
          <w:bCs/>
          <w:iCs/>
        </w:rPr>
        <w:br/>
        <w:t>- Утверждение планов мероприятий по управлению рисками;</w:t>
      </w:r>
      <w:r w:rsidRPr="003F3282">
        <w:rPr>
          <w:rStyle w:val="Subst"/>
          <w:bCs/>
          <w:iCs/>
        </w:rPr>
        <w:br/>
        <w:t>- Утверждение риск-отчетов.</w:t>
      </w:r>
      <w:r w:rsidRPr="003F3282">
        <w:rPr>
          <w:rStyle w:val="Subst"/>
          <w:bCs/>
          <w:iCs/>
        </w:rPr>
        <w:br/>
        <w:t xml:space="preserve"> Структурные подразделения:</w:t>
      </w:r>
      <w:r w:rsidRPr="003F3282">
        <w:rPr>
          <w:rStyle w:val="Subst"/>
          <w:bCs/>
          <w:iCs/>
        </w:rPr>
        <w:br/>
        <w:t>- Идентификация и оценка рисков;</w:t>
      </w:r>
      <w:r w:rsidRPr="003F3282">
        <w:rPr>
          <w:rStyle w:val="Subst"/>
          <w:bCs/>
          <w:iCs/>
        </w:rPr>
        <w:br/>
        <w:t>- Разработка, реализация и мониторинг мероприятий по управлению рисками;</w:t>
      </w:r>
      <w:r w:rsidRPr="003F3282">
        <w:rPr>
          <w:rStyle w:val="Subst"/>
          <w:bCs/>
          <w:iCs/>
        </w:rPr>
        <w:br/>
        <w:t>- Обеспечение непрерывности деятельности и эффективности функционирования ПАО «ТЗА»;</w:t>
      </w:r>
      <w:r w:rsidRPr="003F3282">
        <w:rPr>
          <w:rStyle w:val="Subst"/>
          <w:bCs/>
          <w:iCs/>
        </w:rPr>
        <w:br/>
        <w:t>- Снижение числа непредвиденных событий и убытков в хозяйственной деятельности ПАО «ТЗА»;</w:t>
      </w:r>
      <w:r w:rsidRPr="003F3282">
        <w:rPr>
          <w:rStyle w:val="Subst"/>
          <w:bCs/>
          <w:iCs/>
        </w:rPr>
        <w:br/>
        <w:t>- Своевременная адаптация ПАО «ТЗА» к изменениям во внутренней и внешней среде;</w:t>
      </w:r>
      <w:r w:rsidRPr="003F3282">
        <w:rPr>
          <w:rStyle w:val="Subst"/>
          <w:bCs/>
          <w:iCs/>
        </w:rPr>
        <w:br/>
        <w:t>- Предотвращение злоупотреблений со стороны должностных лиц, пресечение мошенничества.</w:t>
      </w:r>
      <w:r w:rsidRPr="003F3282">
        <w:rPr>
          <w:rStyle w:val="Subst"/>
          <w:bCs/>
          <w:iCs/>
        </w:rPr>
        <w:br/>
        <w:t>Общество осуществляет свою деятельность по управлению рисками и внутреннего контроля в соответствии с Политикой в области управлениями рисками и внутреннего контроля ПАО «ТЗА» (утверждена решением Совета директоров ПАО «ТЗА» (протокол № 4 (228) от 29.09.2022).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 w:rsidRPr="003F3282">
        <w:br/>
      </w:r>
      <w:r w:rsidRPr="003F3282">
        <w:rPr>
          <w:rStyle w:val="Subst"/>
          <w:bCs/>
          <w:iCs/>
        </w:rPr>
        <w:t>Функция внутреннего аудита в 2024 году реализована посредством приобретения услуг по осуществлению</w:t>
      </w:r>
      <w:r w:rsidR="00CA184A">
        <w:rPr>
          <w:rStyle w:val="Subst"/>
          <w:bCs/>
          <w:iCs/>
        </w:rPr>
        <w:t xml:space="preserve"> внутреннего аудита по договору, в соответствии с решением Совета директоров</w:t>
      </w:r>
      <w:r w:rsidR="00A843AD">
        <w:rPr>
          <w:rStyle w:val="Subst"/>
          <w:bCs/>
          <w:iCs/>
        </w:rPr>
        <w:t xml:space="preserve"> Общества</w:t>
      </w:r>
      <w:r w:rsidR="00CA184A">
        <w:rPr>
          <w:rStyle w:val="Subst"/>
          <w:bCs/>
          <w:iCs/>
        </w:rPr>
        <w:t xml:space="preserve"> (</w:t>
      </w:r>
      <w:r w:rsidRPr="003F3282">
        <w:rPr>
          <w:rStyle w:val="Subst"/>
          <w:bCs/>
          <w:iCs/>
        </w:rPr>
        <w:t>протокол СД ПАО «ТЗА» № 1 (245) от 28.12.2023г).</w:t>
      </w:r>
      <w:r w:rsidRPr="003F3282">
        <w:rPr>
          <w:rStyle w:val="Subst"/>
          <w:bCs/>
          <w:iCs/>
        </w:rPr>
        <w:br/>
        <w:t>Деятельность Службы внутреннего аудита регламентирована Политикой ПАО «ТЗА» в области внутреннего аудита, утвержденной решением Совета директоров ПАО «ТЗА» от  01.12.2020 (протокол № 3 (206)), согласно которой одной из задач внутреннего аудита является подготовка и предоставление Совету директоров Общества и исполнительным органам Общества отчетов по результатам деятельности подразделения внутреннего аудита,  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 управления рисками, внутреннего контроля и корпоративного управления.</w:t>
      </w:r>
    </w:p>
    <w:p w:rsidR="00017D6E" w:rsidRPr="003F3282" w:rsidRDefault="00017D6E" w:rsidP="00C76F0B">
      <w:pPr>
        <w:spacing w:before="0" w:after="0"/>
        <w:ind w:left="200"/>
        <w:contextualSpacing/>
        <w:jc w:val="both"/>
      </w:pPr>
    </w:p>
    <w:p w:rsidR="00CA184A" w:rsidRDefault="00017D6E" w:rsidP="00C76F0B">
      <w:pPr>
        <w:suppressLineNumbers/>
        <w:tabs>
          <w:tab w:val="left" w:pos="142"/>
          <w:tab w:val="left" w:pos="540"/>
          <w:tab w:val="left" w:pos="993"/>
          <w:tab w:val="left" w:pos="9354"/>
        </w:tabs>
        <w:suppressAutoHyphens/>
        <w:spacing w:before="0" w:after="0"/>
        <w:ind w:firstLine="567"/>
        <w:jc w:val="both"/>
        <w:rPr>
          <w:rStyle w:val="Subst"/>
          <w:bCs/>
          <w:iCs/>
          <w:color w:val="FF0000"/>
        </w:rPr>
      </w:pPr>
      <w:r w:rsidRPr="003F3282">
        <w:t>Информация о наличии и компетенции ревизионной комиссии (ревизора):</w:t>
      </w:r>
      <w:r w:rsidRPr="003F3282">
        <w:br/>
      </w:r>
      <w:r w:rsidRPr="003F3282">
        <w:rPr>
          <w:rStyle w:val="Subst"/>
          <w:bCs/>
          <w:iCs/>
        </w:rPr>
        <w:lastRenderedPageBreak/>
        <w:t xml:space="preserve">Контроль за финансово-хозяйственной деятельностью Общества осуществляется Ревизионной комиссией, которая действует в соответствии с законодательством Российской Федерации, Уставом и внутренними документами Общества. </w:t>
      </w:r>
      <w:r w:rsidRPr="003F3282">
        <w:rPr>
          <w:rStyle w:val="Subst"/>
          <w:bCs/>
          <w:iCs/>
        </w:rPr>
        <w:br/>
        <w:t>Выдержка из Раздела 17 Устава ПАО "ТЗА":</w:t>
      </w:r>
    </w:p>
    <w:p w:rsidR="00C76F0B" w:rsidRPr="003F3282" w:rsidRDefault="00C76F0B" w:rsidP="00C76F0B">
      <w:pPr>
        <w:suppressLineNumbers/>
        <w:tabs>
          <w:tab w:val="left" w:pos="142"/>
          <w:tab w:val="left" w:pos="540"/>
          <w:tab w:val="left" w:pos="993"/>
          <w:tab w:val="left" w:pos="9354"/>
        </w:tabs>
        <w:suppressAutoHyphens/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17.2. Ревизионная комиссия Общества избирается в количестве 5 (пять) человек Общим собранием акционеров на срок до следующего годового</w:t>
      </w:r>
      <w:r w:rsidRPr="003F3282">
        <w:rPr>
          <w:b/>
          <w:i/>
          <w:iCs/>
        </w:rPr>
        <w:t xml:space="preserve"> </w:t>
      </w:r>
      <w:r w:rsidRPr="003F3282">
        <w:rPr>
          <w:b/>
          <w:i/>
        </w:rPr>
        <w:t xml:space="preserve">Общего собрания акционеров. </w:t>
      </w:r>
    </w:p>
    <w:p w:rsidR="00C76F0B" w:rsidRPr="003F3282" w:rsidRDefault="00C76F0B" w:rsidP="00C76F0B">
      <w:pPr>
        <w:suppressLineNumbers/>
        <w:tabs>
          <w:tab w:val="left" w:pos="142"/>
          <w:tab w:val="left" w:pos="540"/>
          <w:tab w:val="left" w:pos="993"/>
          <w:tab w:val="left" w:pos="9354"/>
        </w:tabs>
        <w:suppressAutoHyphens/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17.3. Членом Ревизионной комиссии Общества может быть любое лицо, предложенное акционером, в соответствии с действующим законодательством. Члены Ревизионной комиссии Общества не могут одновременно занимать иные должности в органах управления Общества.</w:t>
      </w:r>
    </w:p>
    <w:p w:rsidR="00C76F0B" w:rsidRPr="003F3282" w:rsidRDefault="00C76F0B" w:rsidP="00C76F0B">
      <w:pPr>
        <w:suppressLineNumbers/>
        <w:tabs>
          <w:tab w:val="left" w:pos="142"/>
          <w:tab w:val="left" w:pos="540"/>
          <w:tab w:val="left" w:pos="993"/>
          <w:tab w:val="left" w:pos="6946"/>
          <w:tab w:val="left" w:pos="9354"/>
        </w:tabs>
        <w:suppressAutoHyphens/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17.4. Проверка (ревизия) финансово-хозяйственной деятельности Общества осуществляется по итогам деятельности Общества за год, а также во всякое время по инициативе Ревизионной комиссии Общества, решению Общего собрания акционеров, решению Совета директоров или по требованию акционеров (акционера) Общества, владеющих в совокупности не менее чем десятью процентами голосующих акций Общества.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17.5. По итогам проверки финансово-хозяйственной деятельности общества Ревизионная комиссия Общества составляет заключение, в котором должны содержаться:</w:t>
      </w:r>
    </w:p>
    <w:p w:rsidR="00C76F0B" w:rsidRPr="003F3282" w:rsidRDefault="00C76F0B" w:rsidP="00C76F0B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spacing w:before="0" w:after="0"/>
        <w:ind w:left="0" w:firstLine="567"/>
        <w:contextualSpacing/>
        <w:jc w:val="both"/>
        <w:rPr>
          <w:b/>
          <w:i/>
        </w:rPr>
      </w:pPr>
      <w:r w:rsidRPr="003F3282">
        <w:rPr>
          <w:b/>
          <w:i/>
        </w:rPr>
        <w:t xml:space="preserve"> подтверждение достоверности данных, содержащихся в отчетах, и иных финансовых документах Общества;</w:t>
      </w:r>
    </w:p>
    <w:p w:rsidR="00C76F0B" w:rsidRPr="003F3282" w:rsidRDefault="00C76F0B" w:rsidP="00C76F0B">
      <w:pPr>
        <w:numPr>
          <w:ilvl w:val="0"/>
          <w:numId w:val="1"/>
        </w:numPr>
        <w:suppressLineNumbers/>
        <w:tabs>
          <w:tab w:val="left" w:pos="-142"/>
          <w:tab w:val="left" w:pos="142"/>
          <w:tab w:val="left" w:pos="709"/>
        </w:tabs>
        <w:suppressAutoHyphens/>
        <w:autoSpaceDE/>
        <w:autoSpaceDN/>
        <w:adjustRightInd/>
        <w:spacing w:before="0" w:after="0"/>
        <w:ind w:left="0" w:firstLine="567"/>
        <w:contextualSpacing/>
        <w:jc w:val="both"/>
        <w:rPr>
          <w:b/>
          <w:i/>
        </w:rPr>
      </w:pPr>
      <w:r w:rsidRPr="003F3282">
        <w:rPr>
          <w:b/>
          <w:i/>
        </w:rPr>
        <w:t xml:space="preserve"> 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(финансовой) отчетности, а также правовых актов Российской Федерации при осуществлении финансово-хозяйственной деятельности.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 xml:space="preserve">17.6. К компетенции Ревизионной комиссии Общества, помимо вопросов, предусмотренных Федеральным законом </w:t>
      </w:r>
      <w:hyperlink r:id="rId8" w:tooltip="&quot;Об акционерных обществах (с изменениями на 4 ноября 2019 года) (редакция, действующая с 1 января 2020 года)&quot;Федеральный закон от 26.12.1995 N 208-ФЗСтатус: действующая редакция (действ. с 01.01.2020)" w:history="1">
        <w:r w:rsidRPr="003F3282">
          <w:rPr>
            <w:b/>
            <w:i/>
            <w:color w:val="0000AA"/>
            <w:u w:val="single"/>
          </w:rPr>
          <w:t>от 26.12.1995 № 208-ФЗ</w:t>
        </w:r>
      </w:hyperlink>
      <w:r w:rsidRPr="003F3282">
        <w:rPr>
          <w:b/>
          <w:i/>
          <w:iCs/>
        </w:rPr>
        <w:t xml:space="preserve"> «Об акционерных обществах», относятся:</w:t>
      </w:r>
    </w:p>
    <w:p w:rsidR="00C76F0B" w:rsidRPr="003F3282" w:rsidRDefault="00C76F0B" w:rsidP="00C76F0B">
      <w:pPr>
        <w:tabs>
          <w:tab w:val="left" w:pos="142"/>
          <w:tab w:val="left" w:pos="1134"/>
          <w:tab w:val="left" w:pos="1418"/>
        </w:tabs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1) проверка и анализ финансового состояния Общества, его платежеспособности, ликвидности активов, соотношения собственных и заемных средств, функционирования системы внутреннего контроля и системы управления рисками, выявление резервов улучшения экономического состояния Общества, выработка рекомендаций для органов управления Общества;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2) проверка соблюдения при использовании материальных, трудовых и финансовых ресурсов в производственной и финансово-хозяйственной деятельности действующих норм и нормативов, утвержденных смет, лимитов; корпоративных стандартов и других документов, регламентирующих деятельность Общества, а также выполнения решений Общего собрания акционеров;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3) проверка своевременности и правильности осуществления расчетных операций с контрагентами, бюджетом, а также по оплате труда, социальному страхованию, начислению и выплате дивидендов и других расчетных операций;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4) проверка законности хозяйственных операций Общества, осуществляемых по заключенным от имени Общества договорам и сделкам;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5) проверка эффективности использования имущества и иных ресурсов Общества, выявление причин непроизводительных потерь и расходов;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6) проверка соответствия решений по вопросам финансово-хозяйственной деятельности, принимаемых генеральным директором и Советом директоров, Уставу Общества и решениям Общего собрания акционеров;</w:t>
      </w:r>
    </w:p>
    <w:p w:rsidR="00C76F0B" w:rsidRPr="003F3282" w:rsidRDefault="00C76F0B" w:rsidP="00C76F0B">
      <w:pPr>
        <w:tabs>
          <w:tab w:val="left" w:pos="142"/>
          <w:tab w:val="left" w:pos="1418"/>
        </w:tabs>
        <w:spacing w:before="0" w:after="0"/>
        <w:ind w:right="-28" w:firstLine="567"/>
        <w:jc w:val="both"/>
        <w:rPr>
          <w:b/>
          <w:i/>
          <w:iCs/>
        </w:rPr>
      </w:pPr>
      <w:r w:rsidRPr="003F3282">
        <w:rPr>
          <w:b/>
          <w:i/>
          <w:iCs/>
        </w:rPr>
        <w:t>7) контроль устранения недостатков и выполнения рекомендаций по результатам предыдущих проверок Ревизионной комиссии Общества.</w:t>
      </w:r>
    </w:p>
    <w:p w:rsidR="00C76F0B" w:rsidRPr="003F3282" w:rsidRDefault="00C76F0B" w:rsidP="00C76F0B">
      <w:pPr>
        <w:suppressLineNumbers/>
        <w:tabs>
          <w:tab w:val="left" w:pos="142"/>
          <w:tab w:val="left" w:pos="540"/>
          <w:tab w:val="left" w:pos="993"/>
          <w:tab w:val="left" w:pos="9354"/>
        </w:tabs>
        <w:suppressAutoHyphens/>
        <w:spacing w:before="0" w:after="0"/>
        <w:ind w:firstLine="567"/>
        <w:jc w:val="both"/>
        <w:rPr>
          <w:b/>
          <w:i/>
        </w:rPr>
      </w:pPr>
      <w:r w:rsidRPr="003F3282">
        <w:rPr>
          <w:b/>
          <w:i/>
        </w:rPr>
        <w:t>Для оценки достоверности отчётных данных и законности совершенных сделок Ревизионная комиссия Общества вправе проводить проверки и по другим вопросам.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Политика эмитента в области управления рисками, внутреннего контроля и внутреннего аудита:</w:t>
      </w:r>
      <w:r w:rsidRPr="003F3282">
        <w:br/>
      </w:r>
      <w:r w:rsidRPr="003F3282">
        <w:rPr>
          <w:rStyle w:val="Subst"/>
          <w:bCs/>
          <w:iCs/>
        </w:rPr>
        <w:t>Решением Совета директоров ПАО "ТЗА" (протокол №3(206) от 01.12.2020 г.) утверждена "Политика ПАО "ТЗА" в области внутреннего аудита", предусматривающая создание в Обществе подразделения внутреннего аудита, либо привлечение  иной сторонней организации для осуществления  функций внутреннего аудита,  целью которого является содействие Совету директоров и исполнительным органам Общества в сохранении и повышении стоимости Общества посредством проведения объективных внутренних аудиторских проверок на основе риск-ориентированного подхода, предоставления рекомендаций и обмена знаниями. Внутренний аудит помогает Обществу достичь поставленных целей, используя систематизированный и последовательный подход к оценке и повышению эффективности процессов внутреннего контроля, управления рисками и корпоративного управления.</w:t>
      </w:r>
      <w:r w:rsidRPr="003F3282">
        <w:rPr>
          <w:rStyle w:val="Subst"/>
          <w:bCs/>
          <w:iCs/>
        </w:rPr>
        <w:br/>
        <w:t xml:space="preserve">Решением Совета директоров ПАО «ТЗА» от 29.09.2022 г. (протокол № 4 (228))  утверждена Политика ПАО «ТЗА» в области управления рисками и внутреннего контроля. </w:t>
      </w:r>
      <w:r w:rsidRPr="003F3282">
        <w:rPr>
          <w:rStyle w:val="Subst"/>
          <w:bCs/>
          <w:iCs/>
        </w:rPr>
        <w:br/>
        <w:t>Эмитентом утвержден (одобрен) внутренний документ эмитента, устанавливающий правила по предотвращению неправомерного использования конфиденциальной и инсайдерской информации</w:t>
      </w:r>
      <w:r w:rsidRPr="003F3282">
        <w:rPr>
          <w:rStyle w:val="Subst"/>
          <w:bCs/>
          <w:iCs/>
        </w:rPr>
        <w:br/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Эмитентом утвержден (одобрен) внутренний документ эмитента, устанавливающий правила по предотвращению неправомерного использования конфиденциальной и инсайдерской информации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 w:rsidRPr="003F3282">
        <w:br/>
      </w:r>
      <w:r w:rsidRPr="003F3282">
        <w:rPr>
          <w:rStyle w:val="Subst"/>
          <w:bCs/>
          <w:iCs/>
        </w:rPr>
        <w:t xml:space="preserve">Решением Совета Директоров № 4 (215) от 04.10.2021 года утверждено Положение об инсайдерской информации и правилах внутреннего контроля по предотвращению, выявлению и пресечению неправомерного использования инсайдерской информации Публичного акционерного общества «Туймазинский завод автобетоновозов» (ПАО "ТЗА"). Генеральным </w:t>
      </w:r>
      <w:r w:rsidR="00E52250" w:rsidRPr="003F3282">
        <w:rPr>
          <w:rStyle w:val="Subst"/>
          <w:bCs/>
          <w:iCs/>
        </w:rPr>
        <w:t>директором Общества</w:t>
      </w:r>
      <w:r w:rsidRPr="003F3282">
        <w:rPr>
          <w:rStyle w:val="Subst"/>
          <w:bCs/>
          <w:iCs/>
        </w:rPr>
        <w:t xml:space="preserve"> утвержден Перечень информации, относящейся к инсайдерской информации ПАО "ТЗА".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t>Дополнительная информация:</w:t>
      </w:r>
      <w:r w:rsidRPr="003F3282">
        <w:br/>
      </w:r>
      <w:r w:rsidRPr="003F3282">
        <w:rPr>
          <w:rStyle w:val="Subst"/>
          <w:bCs/>
          <w:iCs/>
        </w:rPr>
        <w:t>нет</w:t>
      </w:r>
    </w:p>
    <w:p w:rsidR="00D530CC" w:rsidRPr="003F3282" w:rsidRDefault="00D530CC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</w:p>
    <w:p w:rsidR="00017D6E" w:rsidRPr="00A76A71" w:rsidRDefault="00017D6E" w:rsidP="00DD2EC1">
      <w:pPr>
        <w:spacing w:before="0" w:after="0"/>
        <w:ind w:left="200"/>
        <w:contextualSpacing/>
        <w:jc w:val="both"/>
        <w:rPr>
          <w:b/>
          <w:i/>
        </w:rPr>
      </w:pPr>
      <w:r w:rsidRPr="00A76A71">
        <w:rPr>
          <w:rStyle w:val="Subst"/>
          <w:b w:val="0"/>
          <w:bCs/>
          <w:i w:val="0"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D530CC" w:rsidRPr="00D530CC" w:rsidRDefault="00D530CC" w:rsidP="00D530CC"/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уставном капитале, отсутствуют.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Опционы эмитента работникам эмитента и подконтрольных эмитенту организаций не предоставлялись. Возможность предоставления опционов эмитента работникам эмитента и подконтрольных эмитенту организаций не предусмотрена.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В случае если имеют место любые 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его уставном капитале, указываются сведения о заключении таких соглашений или обязательств, их общий объем, а также совокупная доля участия в уставном капитале эмитента (совокупное количество обыкновенных акций эмитента - акционерного общества), которая может быть приобретена (которое может быть приобретено) по таким соглашениям или обязательствам работниками эмитента и работниками подконтрольных эмитенту организаций, или указывается на отсутствие таких соглашений или обязательств. Для эмитентов, являющихся акционерными обществами,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опционов эмитента.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D530CC" w:rsidRDefault="00D530CC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</w:p>
    <w:p w:rsidR="00D530CC" w:rsidRDefault="00D530CC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</w:p>
    <w:p w:rsidR="00D530CC" w:rsidRDefault="00D530CC" w:rsidP="00DD2EC1">
      <w:pPr>
        <w:spacing w:before="0" w:after="0"/>
        <w:ind w:left="200"/>
        <w:contextualSpacing/>
        <w:jc w:val="both"/>
      </w:pPr>
    </w:p>
    <w:p w:rsidR="009757C0" w:rsidRPr="003F3282" w:rsidRDefault="009757C0" w:rsidP="00DD2EC1">
      <w:pPr>
        <w:spacing w:before="0" w:after="0"/>
        <w:ind w:left="200"/>
        <w:contextualSpacing/>
        <w:jc w:val="both"/>
      </w:pPr>
    </w:p>
    <w:p w:rsidR="00017D6E" w:rsidRDefault="00017D6E" w:rsidP="00D530CC">
      <w:pPr>
        <w:pStyle w:val="1"/>
        <w:spacing w:before="0" w:after="0"/>
        <w:contextualSpacing/>
        <w:rPr>
          <w:sz w:val="20"/>
          <w:szCs w:val="20"/>
        </w:rPr>
      </w:pPr>
      <w:r w:rsidRPr="003F3282">
        <w:rPr>
          <w:sz w:val="20"/>
          <w:szCs w:val="20"/>
        </w:rP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3.1. Сведения об общем количестве акционеров (участников, членов)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Общее 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 w:rsidRPr="003F3282">
        <w:rPr>
          <w:rStyle w:val="Subst"/>
          <w:bCs/>
          <w:iCs/>
        </w:rPr>
        <w:t xml:space="preserve"> 99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Общее количество номинальных держателей акций эмитента:</w:t>
      </w:r>
      <w:r w:rsidRPr="003F3282">
        <w:rPr>
          <w:rStyle w:val="Subst"/>
          <w:bCs/>
          <w:iCs/>
        </w:rPr>
        <w:t xml:space="preserve"> </w:t>
      </w:r>
      <w:r w:rsidR="00226CCC" w:rsidRPr="003F3282">
        <w:rPr>
          <w:rStyle w:val="Subst"/>
          <w:bCs/>
          <w:iCs/>
        </w:rPr>
        <w:t>7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 xml:space="preserve"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</w:t>
      </w:r>
      <w:r w:rsidRPr="003F3282">
        <w:lastRenderedPageBreak/>
        <w:t>держатели акций эмитента представляли данные о лицах, в интересах которых они владели (владеют) акциями эмитента:</w:t>
      </w:r>
      <w:r w:rsidRPr="003F3282">
        <w:rPr>
          <w:rStyle w:val="Subst"/>
          <w:bCs/>
          <w:iCs/>
        </w:rPr>
        <w:t xml:space="preserve"> 3 269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Дата, на которую в данном списке указывались лица, имеющие право осуществлять права по акциям эмитента:</w:t>
      </w:r>
      <w:r w:rsidRPr="003F3282">
        <w:rPr>
          <w:rStyle w:val="Subst"/>
          <w:bCs/>
          <w:iCs/>
        </w:rPr>
        <w:t xml:space="preserve"> 26.05.2024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Владельцы обыкновенных акций эмитента, которые подлежали включению в такой список:</w:t>
      </w:r>
      <w:r w:rsidRPr="003F3282">
        <w:rPr>
          <w:rStyle w:val="Subst"/>
          <w:bCs/>
          <w:iCs/>
        </w:rPr>
        <w:t xml:space="preserve"> 3 269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t>Собственных акций, находящихся на балансе эмитента нет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Информация о количестве акций эмитента, принадлежащих подконтрольным ему организациям</w:t>
      </w:r>
    </w:p>
    <w:p w:rsidR="00017D6E" w:rsidRDefault="00017D6E" w:rsidP="00DD2EC1">
      <w:pPr>
        <w:spacing w:before="0" w:after="0"/>
        <w:ind w:left="4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Акций эмитента, принадлежащих подконтрольным ему организациям нет</w:t>
      </w:r>
    </w:p>
    <w:p w:rsidR="00D530CC" w:rsidRPr="003F3282" w:rsidRDefault="00D530CC" w:rsidP="00DD2EC1">
      <w:pPr>
        <w:spacing w:before="0" w:after="0"/>
        <w:ind w:left="400"/>
        <w:contextualSpacing/>
        <w:jc w:val="both"/>
      </w:pPr>
    </w:p>
    <w:p w:rsidR="00017D6E" w:rsidRPr="00CA184A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CA184A">
        <w:rPr>
          <w:sz w:val="20"/>
          <w:szCs w:val="20"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</w:p>
    <w:p w:rsidR="00A76A71" w:rsidRP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об изменениях в составе сведений настоящего пункта отчёта эмитента, которые произошли между отчетной датой и датой раскрытия отчётности, на основе которой в отчёте эмитента раскрывается информация о финансово-хозяйственной деятельности эмитента, которая известна или должна быть известна эмитенту на дату раскрытия соответствующей отчетности:</w:t>
      </w:r>
      <w:r w:rsidRPr="003F3282">
        <w:br/>
      </w:r>
      <w:r w:rsidRPr="003F3282">
        <w:rPr>
          <w:rStyle w:val="Subst"/>
          <w:bCs/>
          <w:iCs/>
        </w:rPr>
        <w:t>В уставном капитале эмитента нет долей, находящихся в государственной (федеральной) собственности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В уставном капитале эмитента нет долей, находящихся в собственности субъектов Российской Федерации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В уставном капитале эмитента нет долей, находящихся в муниципальной собственности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Сведения об управляющих государственными, муниципальными пакетами акций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t>Указанных лиц нет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t>Указанных лиц нет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("золотой акции"), срок действия специального права ("золотой акции")</w:t>
      </w:r>
    </w:p>
    <w:p w:rsidR="00017D6E" w:rsidRDefault="00017D6E" w:rsidP="00DD2EC1">
      <w:pPr>
        <w:spacing w:before="0" w:after="0"/>
        <w:ind w:left="4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Указанное право не предусмотрено</w:t>
      </w:r>
    </w:p>
    <w:p w:rsidR="00D530CC" w:rsidRPr="003F3282" w:rsidRDefault="00D530CC" w:rsidP="00DD2EC1">
      <w:pPr>
        <w:spacing w:before="0" w:after="0"/>
        <w:ind w:left="400"/>
        <w:contextualSpacing/>
        <w:jc w:val="both"/>
      </w:pPr>
    </w:p>
    <w:p w:rsidR="00017D6E" w:rsidRPr="00CA184A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CA184A">
        <w:rPr>
          <w:sz w:val="20"/>
          <w:szCs w:val="20"/>
        </w:rPr>
        <w:t>3.4. Сделки эмитента, в совершении которых имелась заинтересованность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Перечень совершенных эмитентом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</w:t>
      </w:r>
    </w:p>
    <w:p w:rsidR="00A76A71" w:rsidRP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017D6E" w:rsidRPr="003F3282" w:rsidRDefault="00017D6E" w:rsidP="002171A5">
      <w:pPr>
        <w:spacing w:before="0" w:after="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3.5. Крупные сделки эмитента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Перечень совершенных эмитентом в отчетном году сделок, признаваемых в соответствии с Федеральным законом "Об акционерных обществах" крупными сделками</w:t>
      </w:r>
    </w:p>
    <w:p w:rsidR="00017D6E" w:rsidRDefault="00017D6E" w:rsidP="00DD2EC1">
      <w:pPr>
        <w:spacing w:before="0" w:after="0"/>
        <w:ind w:left="400"/>
        <w:contextualSpacing/>
        <w:jc w:val="both"/>
        <w:rPr>
          <w:rStyle w:val="Subst"/>
          <w:bCs/>
          <w:iCs/>
        </w:rPr>
      </w:pPr>
      <w:r w:rsidRPr="00D5637E">
        <w:rPr>
          <w:rStyle w:val="Subst"/>
          <w:bCs/>
          <w:iCs/>
        </w:rPr>
        <w:t>Указанных сделок не совершалось</w:t>
      </w:r>
    </w:p>
    <w:p w:rsidR="00D530CC" w:rsidRPr="003F3282" w:rsidRDefault="00D530CC" w:rsidP="00DD2EC1">
      <w:pPr>
        <w:spacing w:before="0" w:after="0"/>
        <w:ind w:left="400"/>
        <w:contextualSpacing/>
        <w:jc w:val="both"/>
      </w:pPr>
    </w:p>
    <w:p w:rsidR="00017D6E" w:rsidRDefault="00017D6E" w:rsidP="00D530CC">
      <w:pPr>
        <w:pStyle w:val="1"/>
        <w:spacing w:before="0" w:after="0"/>
        <w:contextualSpacing/>
        <w:rPr>
          <w:sz w:val="20"/>
          <w:szCs w:val="20"/>
        </w:rPr>
      </w:pPr>
      <w:r w:rsidRPr="003F3282">
        <w:rPr>
          <w:sz w:val="20"/>
          <w:szCs w:val="20"/>
        </w:rPr>
        <w:t>Раздел 4. Дополнительные сведения об эмитенте и о размещенных им ценных бумагах</w:t>
      </w: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4.1. Подконтрольные эмитенту организации, имеющие для него существенное значение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Эмитент не имеет подконтрольных организаций, имеющих для него существенное значение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4.2. 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У эмитента отсутствуют в обращении облигации, в том числе размещённые в рамках программы облигаций, которые бы идентифицировались эмитентом как "зеленые облигации" и (или) "социальные облигации", и (или) "облигации устойчивого развития", и (или) "адаптационные облигации"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не приводится, т.к. у эмитента отсутствуют в обращении облигации, в том числе размещённые в рамках программы облигаций, которые бы идентифицировались обществом как "зеленые облигации" и (или) "социальные облигации", и (или) "облигации устойчивого развития", и (или) "адаптационные облигации"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не приводится, т.к. у эмитента отсутствуют в обращении облигации, в том числе размещённые в рамках программы облигаций, которые бы идентифицировались обществом как "зеленые облигации" и (или) "социальные облигации", и (или) "облигации устойчивого развития", и (или) "адаптационные облигации"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не приводится, т.к. у эмитента отсутствуют в обращении облигации, в том числе размещённые в рамках программы облигаций, которые бы идентифицировались обществом как "зеленые облигации" и (или) "социальные облигации", и (или) "облигации устойчивого развития", и (или) "адаптационные облигации"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4.2(1). Дополнительные сведения, раскрываемые эмитентами инфраструктурных облигаций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У эмитента отсутствуют в обращении инфраструктурные облигации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4.2(2). Дополнительные сведения, раскрываемые эмитентами облигаций, связанных с целями устойчивого развития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У эмитента отсутствуют в обращении облигации, связанные с целями устойчивого развития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4.2(3). Дополнительные сведения, раскрываемые эмитентами облигаций климатического перехода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У эмитента отсутствуют в обращении облигации климатического перехода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В обращении нет облигаций эмитента,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4.3.1. Дополнительные сведения об ипотечном покрытии по облигациям эмитента с ипотечным покрытием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rPr>
          <w:rStyle w:val="Subst"/>
          <w:bCs/>
          <w:iCs/>
        </w:rPr>
        <w:t>Информация в настоящем пункте не приводится в связи с тем, что эмитент не размещал облигации с ипотечным покрытием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Информация в настоящем пункте не приводится в связи с тем, что эмитент не выпускал облигации с залоговым обеспечением денежными требованиями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4.4. Сведения об объявленных и выплаченных дивидендах по акциям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 даты государственной регистрации эмитента, если эмитент осуществляет свою деятельность менее трех лет.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17D6E" w:rsidRPr="003F3282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Отчетный период, за который (по результатам которого) выплачиваются (выплачивались) объявленные дивиденды - 2021г., полный год</w:t>
            </w:r>
          </w:p>
        </w:tc>
      </w:tr>
      <w:tr w:rsidR="00017D6E" w:rsidRPr="003F3282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lastRenderedPageBreak/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</w:tr>
      <w:tr w:rsidR="00017D6E" w:rsidRPr="003F3282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Категория (тип) акций: обыкновенные</w:t>
            </w:r>
          </w:p>
        </w:tc>
      </w:tr>
      <w:tr w:rsidR="00017D6E" w:rsidRPr="003F3282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017D6E" w:rsidRPr="003F3282" w:rsidRDefault="00017D6E" w:rsidP="00DD2EC1">
      <w:pPr>
        <w:spacing w:before="0" w:after="0"/>
        <w:contextualSpacing/>
        <w:jc w:val="both"/>
      </w:pP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17D6E" w:rsidRPr="003F3282" w:rsidTr="004E70D8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Отчетный период, за который (по результатам которого) выплачиваются (выплачивались) объявленные дивиденды - 2022г., полный год</w:t>
            </w:r>
          </w:p>
        </w:tc>
      </w:tr>
      <w:tr w:rsidR="00017D6E" w:rsidRPr="003F3282" w:rsidTr="004E70D8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</w:tr>
      <w:tr w:rsidR="00017D6E" w:rsidRPr="003F3282" w:rsidTr="004E70D8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Категория (тип) акций: обыкновенные</w:t>
            </w:r>
          </w:p>
        </w:tc>
      </w:tr>
      <w:tr w:rsidR="00017D6E" w:rsidRPr="003F3282" w:rsidTr="004E70D8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17D6E" w:rsidRPr="003F3282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Отчетный период, за который (по результатам которого) выплачиваются (выплачивались) объявленные дивиденды - 2023г., полный год</w:t>
            </w:r>
          </w:p>
        </w:tc>
      </w:tr>
      <w:tr w:rsidR="00017D6E" w:rsidRPr="003F3282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</w:tr>
      <w:tr w:rsidR="00017D6E" w:rsidRPr="003F3282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Категория (тип) акций: обыкновенные</w:t>
            </w:r>
          </w:p>
        </w:tc>
      </w:tr>
      <w:tr w:rsidR="00017D6E" w:rsidRPr="003F3282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tbl>
      <w:tblPr>
        <w:tblW w:w="92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17D6E" w:rsidRPr="003F3282" w:rsidTr="004E70D8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Отчетный период, за который (по результатам которого) выплачиваются (выплачивались) объявленные дивиденды - 2024г., полный год</w:t>
            </w:r>
          </w:p>
        </w:tc>
      </w:tr>
      <w:tr w:rsidR="00017D6E" w:rsidRPr="003F3282" w:rsidTr="004E70D8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3</w:t>
            </w:r>
          </w:p>
        </w:tc>
      </w:tr>
      <w:tr w:rsidR="00017D6E" w:rsidRPr="003F3282" w:rsidTr="004E70D8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Категория (тип) акций: обыкновенные</w:t>
            </w:r>
          </w:p>
        </w:tc>
      </w:tr>
      <w:tr w:rsidR="00017D6E" w:rsidRPr="003F3282" w:rsidTr="004E70D8">
        <w:tc>
          <w:tcPr>
            <w:tcW w:w="925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 течение указанного периода решений о выплате дивидендов эмитентом не принималось</w:t>
            </w:r>
          </w:p>
        </w:tc>
      </w:tr>
    </w:tbl>
    <w:p w:rsidR="00017D6E" w:rsidRPr="003F3282" w:rsidRDefault="00017D6E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017D6E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4.5. Сведения об организациях, осуществляющих учет прав на эмиссионные ценные бумаги эмитента</w:t>
      </w:r>
    </w:p>
    <w:p w:rsidR="00A40B8F" w:rsidRPr="00A40B8F" w:rsidRDefault="00A40B8F" w:rsidP="00A40B8F"/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4.5.1. Сведения о регистраторе, осуществляющем ведение реестра владельцев ценных бумаг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Полное фирменное наименование:</w:t>
      </w:r>
      <w:r w:rsidRPr="003F3282">
        <w:rPr>
          <w:rStyle w:val="Subst"/>
          <w:bCs/>
          <w:iCs/>
        </w:rPr>
        <w:t xml:space="preserve"> Акционерное Общество "Независимая регистраторская компания Р.О.С.Т."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Сокращенное фирменное наименование:</w:t>
      </w:r>
      <w:r w:rsidRPr="003F3282">
        <w:rPr>
          <w:rStyle w:val="Subst"/>
          <w:bCs/>
          <w:iCs/>
        </w:rPr>
        <w:t xml:space="preserve"> АО "НРК-Р.О.С.Т"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Место нахождения:</w:t>
      </w:r>
      <w:r w:rsidRPr="003F3282">
        <w:rPr>
          <w:rStyle w:val="Subst"/>
          <w:bCs/>
          <w:iCs/>
        </w:rPr>
        <w:t xml:space="preserve"> 107076, г. Москва, ул. Стромынка, д. 18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ИНН:</w:t>
      </w:r>
      <w:r w:rsidRPr="003F3282">
        <w:rPr>
          <w:rStyle w:val="Subst"/>
          <w:bCs/>
          <w:iCs/>
        </w:rPr>
        <w:t xml:space="preserve"> 7726030449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ОГРН:</w:t>
      </w:r>
      <w:r w:rsidRPr="003F3282">
        <w:rPr>
          <w:rStyle w:val="Subst"/>
          <w:bCs/>
          <w:iCs/>
        </w:rPr>
        <w:t xml:space="preserve"> 1027739216757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Данные о лицензии на осуществление деятельности по ведению реестра владельцев ценных бумаг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Номер:</w:t>
      </w:r>
      <w:r w:rsidRPr="003F3282">
        <w:rPr>
          <w:rStyle w:val="Subst"/>
          <w:bCs/>
          <w:iCs/>
        </w:rPr>
        <w:t xml:space="preserve"> 10-000-1-00264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Дата выдачи:</w:t>
      </w:r>
      <w:r w:rsidRPr="003F3282">
        <w:rPr>
          <w:rStyle w:val="Subst"/>
          <w:bCs/>
          <w:iCs/>
        </w:rPr>
        <w:t xml:space="preserve"> 03.12.2002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Срок действия:</w:t>
      </w:r>
    </w:p>
    <w:p w:rsidR="00017D6E" w:rsidRPr="003F3282" w:rsidRDefault="00017D6E" w:rsidP="00DD2EC1">
      <w:pPr>
        <w:spacing w:before="0" w:after="0"/>
        <w:ind w:left="600"/>
        <w:contextualSpacing/>
        <w:jc w:val="both"/>
      </w:pPr>
      <w:r w:rsidRPr="003F3282">
        <w:rPr>
          <w:rStyle w:val="Subst"/>
          <w:bCs/>
          <w:iCs/>
        </w:rPr>
        <w:t>Бессрочная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Наименование органа, выдавшего лицензию:</w:t>
      </w:r>
      <w:r w:rsidRPr="003F3282">
        <w:rPr>
          <w:rStyle w:val="Subst"/>
          <w:bCs/>
          <w:iCs/>
        </w:rPr>
        <w:t xml:space="preserve"> ФСФР России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Дата, с которой регистратор осуществляет ведение реестра владельцев ценных бумаг эмитента:</w:t>
      </w:r>
      <w:r w:rsidRPr="003F3282">
        <w:rPr>
          <w:rStyle w:val="Subst"/>
          <w:bCs/>
          <w:iCs/>
        </w:rPr>
        <w:t xml:space="preserve"> 01.04.1997</w:t>
      </w:r>
    </w:p>
    <w:p w:rsidR="00017D6E" w:rsidRDefault="00017D6E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r w:rsidRPr="003F3282">
        <w:t>Иные сведения о ведении реестра владельцев ценных бумаг эмитента, указываемые эмитентом по собственному усмотрению:</w:t>
      </w:r>
      <w:r w:rsidRPr="003F3282">
        <w:rPr>
          <w:rStyle w:val="Subst"/>
          <w:bCs/>
          <w:iCs/>
        </w:rPr>
        <w:t xml:space="preserve"> отсутствуют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CA184A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CA184A">
        <w:rPr>
          <w:sz w:val="20"/>
          <w:szCs w:val="20"/>
        </w:rPr>
        <w:t>4.5.2. Сведения о депозитарии, осуществляющем централизованный учет прав на ценные бумаги эмитента</w:t>
      </w:r>
    </w:p>
    <w:p w:rsidR="00A76A71" w:rsidRDefault="00A76A71" w:rsidP="00A76A71">
      <w:pPr>
        <w:pStyle w:val="2"/>
        <w:spacing w:before="0" w:after="0"/>
        <w:contextualSpacing/>
        <w:jc w:val="both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И</w:t>
      </w:r>
      <w:r w:rsidRPr="00A76A71">
        <w:rPr>
          <w:bCs w:val="0"/>
          <w:i/>
          <w:sz w:val="20"/>
          <w:szCs w:val="20"/>
        </w:rPr>
        <w:t>нформация не раскрывается, соответствующее уведомление направлено в Банк России.</w:t>
      </w:r>
    </w:p>
    <w:p w:rsidR="00A40B8F" w:rsidRPr="00A40B8F" w:rsidRDefault="00A40B8F" w:rsidP="00A40B8F"/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4.6. Информация об аудиторе эмитента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 xml:space="preserve"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</w:t>
      </w:r>
      <w:r w:rsidRPr="003F3282">
        <w:lastRenderedPageBreak/>
        <w:t>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Полное фирменное наименование:</w:t>
      </w:r>
      <w:r w:rsidRPr="003F3282">
        <w:rPr>
          <w:rStyle w:val="Subst"/>
          <w:bCs/>
          <w:iCs/>
        </w:rPr>
        <w:t xml:space="preserve"> Общество с ограниченной ответственностью «Аудиторско-консалтинговая компания «</w:t>
      </w:r>
      <w:proofErr w:type="spellStart"/>
      <w:r w:rsidRPr="003F3282">
        <w:rPr>
          <w:rStyle w:val="Subst"/>
          <w:bCs/>
          <w:iCs/>
        </w:rPr>
        <w:t>Аудэкс</w:t>
      </w:r>
      <w:proofErr w:type="spellEnd"/>
      <w:r w:rsidRPr="003F3282">
        <w:rPr>
          <w:rStyle w:val="Subst"/>
          <w:bCs/>
          <w:iCs/>
        </w:rPr>
        <w:t>»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Сокращенное фирменное наименование:</w:t>
      </w:r>
      <w:r w:rsidRPr="003F3282">
        <w:rPr>
          <w:rStyle w:val="Subst"/>
          <w:bCs/>
          <w:iCs/>
        </w:rPr>
        <w:t xml:space="preserve"> ООО «АКК» </w:t>
      </w:r>
      <w:proofErr w:type="spellStart"/>
      <w:r w:rsidRPr="003F3282">
        <w:rPr>
          <w:rStyle w:val="Subst"/>
          <w:bCs/>
          <w:iCs/>
        </w:rPr>
        <w:t>Аудэкс</w:t>
      </w:r>
      <w:proofErr w:type="spellEnd"/>
      <w:r w:rsidRPr="003F3282">
        <w:rPr>
          <w:rStyle w:val="Subst"/>
          <w:bCs/>
          <w:iCs/>
        </w:rPr>
        <w:t>»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Место нахождения:</w:t>
      </w:r>
      <w:r w:rsidRPr="003F3282">
        <w:rPr>
          <w:rStyle w:val="Subst"/>
          <w:bCs/>
          <w:iCs/>
        </w:rPr>
        <w:t xml:space="preserve"> 420021, Российская Федерация, Республика Татарстан, г. Казань, ул. Сафьян,8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ИНН:</w:t>
      </w:r>
      <w:r w:rsidRPr="003F3282">
        <w:rPr>
          <w:rStyle w:val="Subst"/>
          <w:bCs/>
          <w:iCs/>
        </w:rPr>
        <w:t xml:space="preserve"> 1655301258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ОГРН:</w:t>
      </w:r>
      <w:r w:rsidRPr="003F3282">
        <w:rPr>
          <w:rStyle w:val="Subst"/>
          <w:bCs/>
          <w:iCs/>
        </w:rPr>
        <w:t xml:space="preserve"> 1141690066561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</w:r>
    </w:p>
    <w:p w:rsidR="00017D6E" w:rsidRPr="003F3282" w:rsidRDefault="00017D6E" w:rsidP="00DD2EC1">
      <w:pPr>
        <w:pStyle w:val="ThinDelim"/>
        <w:contextualSpacing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52"/>
        <w:gridCol w:w="4600"/>
      </w:tblGrid>
      <w:tr w:rsidR="00017D6E" w:rsidRPr="003F3282">
        <w:tc>
          <w:tcPr>
            <w:tcW w:w="4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4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в соответствии с международными стандартами финансовой отчетности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2022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промежуточной финансовой отчетности ПАО "ТЗА" за 6 мес. 2023 г., в соответствии с международными стандартами финансовой отчетности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2023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в соответствии с международными стандартами финансовой отчетности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2024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промежуточной финансовой отчетности ПАО "ТЗА" за 6 мес. 2024 г., в соответствии с международными стандартами финансовой отчетности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2024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 в соответствии с правилами составления бухгалтерской (финансовой) отчетности, установленными в Российской Федерации</w:t>
            </w:r>
          </w:p>
        </w:tc>
      </w:tr>
      <w:tr w:rsidR="00017D6E" w:rsidRPr="003F3282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2024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17D6E" w:rsidRPr="003F3282" w:rsidRDefault="00017D6E" w:rsidP="00DD2EC1">
            <w:pPr>
              <w:spacing w:before="0" w:after="0"/>
              <w:contextualSpacing/>
              <w:jc w:val="both"/>
            </w:pPr>
            <w:r w:rsidRPr="003F3282">
              <w:t>Проведен аудит годовой бухгалтерской (финансовой) отчетности ПАО "ТЗА" в соответствии с международными стандартами финансовой отчетности</w:t>
            </w:r>
          </w:p>
        </w:tc>
      </w:tr>
    </w:tbl>
    <w:p w:rsidR="00017D6E" w:rsidRPr="003F3282" w:rsidRDefault="00017D6E" w:rsidP="00DD2EC1">
      <w:pPr>
        <w:spacing w:before="0" w:after="0"/>
        <w:contextualSpacing/>
        <w:jc w:val="both"/>
      </w:pP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 w:rsidRPr="003F3282">
        <w:br/>
      </w:r>
      <w:r w:rsidRPr="003F3282">
        <w:rPr>
          <w:rStyle w:val="Subst"/>
          <w:bCs/>
          <w:iCs/>
        </w:rPr>
        <w:t>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rPr>
          <w:rStyle w:val="Subst"/>
          <w:bCs/>
          <w:iCs/>
        </w:rPr>
        <w:lastRenderedPageBreak/>
        <w:t>Факторов,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группы, нет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 w:rsidRPr="003F3282">
        <w:br/>
      </w:r>
      <w:r w:rsidRPr="003F3282">
        <w:rPr>
          <w:rStyle w:val="Subst"/>
          <w:bCs/>
          <w:iCs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 не имеют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организации):</w:t>
      </w:r>
      <w:r w:rsidRPr="003F3282">
        <w:br/>
      </w:r>
      <w:r w:rsidRPr="003F3282">
        <w:rPr>
          <w:rStyle w:val="Subst"/>
          <w:bCs/>
          <w:iCs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 не осуществлялось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связей:</w:t>
      </w:r>
      <w:r w:rsidRPr="003F3282">
        <w:br/>
      </w:r>
      <w:r w:rsidRPr="003F3282">
        <w:rPr>
          <w:rStyle w:val="Subst"/>
          <w:bCs/>
          <w:iCs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Сведения о лицах,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организации:</w:t>
      </w:r>
      <w:r w:rsidRPr="003F3282">
        <w:br/>
      </w:r>
      <w:r w:rsidRPr="003F3282">
        <w:rPr>
          <w:rStyle w:val="Subst"/>
          <w:bCs/>
          <w:iCs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Иные факторы, которые могут повлиять на независимость аудитора от эмитента:</w:t>
      </w:r>
      <w:r w:rsidRPr="003F3282">
        <w:br/>
      </w:r>
      <w:r w:rsidRPr="003F3282">
        <w:rPr>
          <w:rStyle w:val="Subst"/>
          <w:bCs/>
          <w:iCs/>
        </w:rPr>
        <w:t>Иных факторов, которые могут повлиять на независимость аудитора от эмитента, нет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t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</w:t>
      </w:r>
      <w:r w:rsidRPr="003F3282">
        <w:br/>
      </w:r>
      <w:r w:rsidRPr="003F3282">
        <w:rPr>
          <w:rStyle w:val="Subst"/>
          <w:bCs/>
          <w:iCs/>
        </w:rPr>
        <w:t xml:space="preserve">Протоколом Совета Директоров № </w:t>
      </w:r>
      <w:r w:rsidR="00457232" w:rsidRPr="003F3282">
        <w:rPr>
          <w:rStyle w:val="Subst"/>
          <w:bCs/>
          <w:iCs/>
        </w:rPr>
        <w:t>3</w:t>
      </w:r>
      <w:r w:rsidRPr="003F3282">
        <w:rPr>
          <w:rStyle w:val="Subst"/>
          <w:bCs/>
          <w:iCs/>
        </w:rPr>
        <w:t xml:space="preserve"> (25</w:t>
      </w:r>
      <w:r w:rsidR="00457232" w:rsidRPr="003F3282">
        <w:rPr>
          <w:rStyle w:val="Subst"/>
          <w:bCs/>
          <w:iCs/>
        </w:rPr>
        <w:t>4</w:t>
      </w:r>
      <w:r w:rsidRPr="003F3282">
        <w:rPr>
          <w:rStyle w:val="Subst"/>
          <w:bCs/>
          <w:iCs/>
        </w:rPr>
        <w:t xml:space="preserve">) от </w:t>
      </w:r>
      <w:r w:rsidR="00457232" w:rsidRPr="003F3282">
        <w:rPr>
          <w:rStyle w:val="Subst"/>
          <w:bCs/>
          <w:iCs/>
        </w:rPr>
        <w:t>26</w:t>
      </w:r>
      <w:r w:rsidRPr="003F3282">
        <w:rPr>
          <w:rStyle w:val="Subst"/>
          <w:bCs/>
          <w:iCs/>
        </w:rPr>
        <w:t>.</w:t>
      </w:r>
      <w:r w:rsidR="00457232" w:rsidRPr="003F3282">
        <w:rPr>
          <w:rStyle w:val="Subst"/>
          <w:bCs/>
          <w:iCs/>
        </w:rPr>
        <w:t>12</w:t>
      </w:r>
      <w:r w:rsidRPr="003F3282">
        <w:rPr>
          <w:rStyle w:val="Subst"/>
          <w:bCs/>
          <w:iCs/>
        </w:rPr>
        <w:t xml:space="preserve">.2024 года определен  размер оплаты услуг аудитора по проведению аудита бухгалтерской (финансовой) отчетности ПАО «ТЗА» за 2024 год, подготовленной в соответствии с российскими стандартами бухгалтерского учета, и финансовой отчетности ПАО «ТЗА» за 2024 год, подготовленной в соответствии с требованиями международных стандартов финансовой отчетности, с учетом командировочных, организационных и иных накладных расходов, в сумме 1386 </w:t>
      </w:r>
      <w:proofErr w:type="spellStart"/>
      <w:r w:rsidRPr="003F3282">
        <w:rPr>
          <w:rStyle w:val="Subst"/>
          <w:bCs/>
          <w:iCs/>
        </w:rPr>
        <w:t>тыс.руб</w:t>
      </w:r>
      <w:proofErr w:type="spellEnd"/>
      <w:r w:rsidRPr="003F3282">
        <w:rPr>
          <w:rStyle w:val="Subst"/>
          <w:bCs/>
          <w:iCs/>
        </w:rPr>
        <w:t>., в том числе:</w:t>
      </w:r>
      <w:r w:rsidRPr="003F3282">
        <w:rPr>
          <w:rStyle w:val="Subst"/>
          <w:bCs/>
          <w:iCs/>
        </w:rPr>
        <w:br/>
        <w:t xml:space="preserve">- стоимость аудита по стандартам МСФО – 704 </w:t>
      </w:r>
      <w:proofErr w:type="spellStart"/>
      <w:r w:rsidRPr="003F3282">
        <w:rPr>
          <w:rStyle w:val="Subst"/>
          <w:bCs/>
          <w:iCs/>
        </w:rPr>
        <w:t>тыс.руб</w:t>
      </w:r>
      <w:proofErr w:type="spellEnd"/>
      <w:r w:rsidRPr="003F3282">
        <w:rPr>
          <w:rStyle w:val="Subst"/>
          <w:bCs/>
          <w:iCs/>
        </w:rPr>
        <w:t>.</w:t>
      </w:r>
      <w:r w:rsidR="00457232" w:rsidRPr="003F3282">
        <w:rPr>
          <w:rStyle w:val="Subst"/>
          <w:bCs/>
          <w:iCs/>
        </w:rPr>
        <w:t xml:space="preserve"> (без учета НДС)</w:t>
      </w:r>
      <w:r w:rsidRPr="003F3282">
        <w:rPr>
          <w:rStyle w:val="Subst"/>
          <w:bCs/>
          <w:iCs/>
        </w:rPr>
        <w:t>,</w:t>
      </w:r>
      <w:r w:rsidRPr="003F3282">
        <w:rPr>
          <w:rStyle w:val="Subst"/>
          <w:bCs/>
          <w:iCs/>
        </w:rPr>
        <w:br/>
        <w:t xml:space="preserve">- стоимость аудита по  стандартам РСБУ - 682 </w:t>
      </w:r>
      <w:proofErr w:type="spellStart"/>
      <w:r w:rsidRPr="003F3282">
        <w:rPr>
          <w:rStyle w:val="Subst"/>
          <w:bCs/>
          <w:iCs/>
        </w:rPr>
        <w:t>тыс.руб</w:t>
      </w:r>
      <w:proofErr w:type="spellEnd"/>
      <w:r w:rsidRPr="003F3282">
        <w:rPr>
          <w:rStyle w:val="Subst"/>
          <w:bCs/>
          <w:iCs/>
        </w:rPr>
        <w:t>.</w:t>
      </w:r>
      <w:r w:rsidR="00457232" w:rsidRPr="003F3282">
        <w:rPr>
          <w:rStyle w:val="Subst"/>
          <w:bCs/>
          <w:iCs/>
        </w:rPr>
        <w:t>(без учета НДС).</w:t>
      </w:r>
    </w:p>
    <w:p w:rsidR="00017D6E" w:rsidRPr="003F3282" w:rsidRDefault="00017D6E" w:rsidP="00DD2EC1">
      <w:pPr>
        <w:spacing w:before="0" w:after="0"/>
        <w:ind w:left="200"/>
        <w:contextualSpacing/>
        <w:jc w:val="both"/>
      </w:pPr>
      <w:r w:rsidRPr="003F3282">
        <w:rPr>
          <w:rStyle w:val="Subst"/>
          <w:bCs/>
          <w:iCs/>
        </w:rPr>
        <w:t>Отсроченных и просроченных платежей за оказанные аудитором услуги нет</w:t>
      </w:r>
    </w:p>
    <w:p w:rsidR="00017D6E" w:rsidRPr="003F3282" w:rsidRDefault="00017D6E" w:rsidP="00DD2EC1">
      <w:pPr>
        <w:pStyle w:val="SubHeading"/>
        <w:spacing w:before="0" w:after="0"/>
        <w:ind w:left="200"/>
        <w:contextualSpacing/>
        <w:jc w:val="both"/>
      </w:pPr>
      <w:r w:rsidRPr="003F3282">
        <w:t>Порядок выбора аудитора эмитента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Процедура конкурса, связанного с выбором аудитора, и его основные условия:</w:t>
      </w:r>
      <w:r w:rsidRPr="003F3282">
        <w:br/>
      </w:r>
      <w:r w:rsidRPr="003F3282">
        <w:rPr>
          <w:rStyle w:val="Subst"/>
          <w:bCs/>
          <w:iCs/>
        </w:rPr>
        <w:t>Для осуществления аудита бухгалтерской (финансовой)  отчетности, проводится закрытый конкурс по отбору аудиторской организации.</w:t>
      </w:r>
    </w:p>
    <w:p w:rsidR="00017D6E" w:rsidRPr="003F3282" w:rsidRDefault="00017D6E" w:rsidP="00DD2EC1">
      <w:pPr>
        <w:spacing w:before="0" w:after="0"/>
        <w:ind w:left="400"/>
        <w:contextualSpacing/>
        <w:jc w:val="both"/>
      </w:pPr>
      <w:r w:rsidRPr="003F3282"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</w:t>
      </w:r>
      <w:r w:rsidRPr="003F3282">
        <w:br/>
      </w:r>
      <w:r w:rsidRPr="003F3282">
        <w:rPr>
          <w:rStyle w:val="Subst"/>
          <w:bCs/>
          <w:iCs/>
        </w:rPr>
        <w:t>В соответствии с Уставом ПАО «ТЗА», для проверки и подтверждения правильности годовой бухгалтерской (финансовой) отчётности Общество ежегодно привлекает аудитора, не связанного имущественными интересами с Обществом или его акционерами. Вопрос об утверждении аудитора Общества решается на годовом Общем собрании акционеров. Кандидатура аудитора выдвигается акционерами, в отсутствие предложений акционеров - Советом директоров.</w:t>
      </w:r>
    </w:p>
    <w:p w:rsidR="00017D6E" w:rsidRDefault="00017D6E" w:rsidP="00DD2EC1">
      <w:pPr>
        <w:spacing w:before="0" w:after="0"/>
        <w:ind w:left="200"/>
        <w:contextualSpacing/>
        <w:jc w:val="both"/>
      </w:pPr>
      <w:r w:rsidRPr="003F3282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Default="00017D6E" w:rsidP="00A40B8F">
      <w:pPr>
        <w:pStyle w:val="1"/>
        <w:spacing w:before="0" w:after="0"/>
        <w:contextualSpacing/>
        <w:rPr>
          <w:sz w:val="20"/>
          <w:szCs w:val="20"/>
        </w:rPr>
      </w:pPr>
      <w:r w:rsidRPr="003F3282">
        <w:rPr>
          <w:sz w:val="20"/>
          <w:szCs w:val="20"/>
        </w:rPr>
        <w:lastRenderedPageBreak/>
        <w:t>Раздел 5. Консолидированная финансовая отчетность (финансовая отчетность), бухгалтерская (финансовая) отчетность эмитента</w:t>
      </w:r>
    </w:p>
    <w:p w:rsidR="00A40B8F" w:rsidRPr="00A40B8F" w:rsidRDefault="00A40B8F" w:rsidP="00A40B8F"/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5.1. Консолидированная финансовая отчетность (финансовая отчетность) эмитента</w:t>
      </w:r>
    </w:p>
    <w:p w:rsidR="00A40B8F" w:rsidRDefault="00017D6E" w:rsidP="00DD2EC1">
      <w:pPr>
        <w:spacing w:before="0" w:after="0"/>
        <w:ind w:left="200"/>
        <w:contextualSpacing/>
        <w:jc w:val="both"/>
      </w:pPr>
      <w:proofErr w:type="spellStart"/>
      <w:r w:rsidRPr="003F3282">
        <w:t>Cсылка</w:t>
      </w:r>
      <w:proofErr w:type="spellEnd"/>
      <w:r w:rsidRPr="003F3282">
        <w:t xml:space="preserve"> на страницу в сети Интернет, на которой опубликована указанная отчетность:</w:t>
      </w:r>
    </w:p>
    <w:p w:rsidR="00A40B8F" w:rsidRDefault="00561AB7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hyperlink r:id="rId9" w:history="1">
        <w:r w:rsidR="00A40B8F" w:rsidRPr="005D0809">
          <w:rPr>
            <w:rStyle w:val="ac"/>
            <w:bCs/>
            <w:iCs/>
          </w:rPr>
          <w:t>https://www.e-disclosure.ru/portal/files.aspx?id=1355&amp;type=3</w:t>
        </w:r>
      </w:hyperlink>
      <w:r w:rsidR="00017D6E" w:rsidRPr="003F3282">
        <w:rPr>
          <w:rStyle w:val="Subst"/>
          <w:bCs/>
          <w:iCs/>
        </w:rPr>
        <w:t>;</w:t>
      </w:r>
    </w:p>
    <w:p w:rsidR="00017D6E" w:rsidRDefault="00561AB7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hyperlink r:id="rId10" w:history="1">
        <w:r w:rsidR="00A40B8F" w:rsidRPr="005D0809">
          <w:rPr>
            <w:rStyle w:val="ac"/>
            <w:bCs/>
            <w:iCs/>
          </w:rPr>
          <w:t>https://tzacom.ru/about/disclosure-of-information/accounting-financial-statements/</w:t>
        </w:r>
      </w:hyperlink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p w:rsidR="00017D6E" w:rsidRPr="003F3282" w:rsidRDefault="00017D6E" w:rsidP="00DD2EC1">
      <w:pPr>
        <w:pStyle w:val="2"/>
        <w:spacing w:before="0" w:after="0"/>
        <w:contextualSpacing/>
        <w:jc w:val="both"/>
        <w:rPr>
          <w:sz w:val="20"/>
          <w:szCs w:val="20"/>
        </w:rPr>
      </w:pPr>
      <w:r w:rsidRPr="003F3282">
        <w:rPr>
          <w:sz w:val="20"/>
          <w:szCs w:val="20"/>
        </w:rPr>
        <w:t>5.2. Бухгалтерская (финансовая) отчетность</w:t>
      </w:r>
    </w:p>
    <w:p w:rsidR="00A40B8F" w:rsidRDefault="00017D6E" w:rsidP="00DD2EC1">
      <w:pPr>
        <w:spacing w:before="0" w:after="0"/>
        <w:ind w:left="200"/>
        <w:contextualSpacing/>
        <w:jc w:val="both"/>
      </w:pPr>
      <w:proofErr w:type="spellStart"/>
      <w:r w:rsidRPr="003F3282">
        <w:t>Cсылка</w:t>
      </w:r>
      <w:proofErr w:type="spellEnd"/>
      <w:r w:rsidRPr="003F3282">
        <w:t xml:space="preserve"> на страницу в сети Интернет, на которой опубликована указанная отчетность:</w:t>
      </w:r>
    </w:p>
    <w:p w:rsidR="00A40B8F" w:rsidRDefault="00561AB7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hyperlink r:id="rId11" w:history="1">
        <w:r w:rsidR="00A40B8F" w:rsidRPr="005D0809">
          <w:rPr>
            <w:rStyle w:val="ac"/>
            <w:bCs/>
            <w:iCs/>
          </w:rPr>
          <w:t>https://www.e-disclosure.ru/portal/files.aspx?id=1355&amp;type=3</w:t>
        </w:r>
      </w:hyperlink>
      <w:r w:rsidR="00017D6E" w:rsidRPr="003F3282">
        <w:rPr>
          <w:rStyle w:val="Subst"/>
          <w:bCs/>
          <w:iCs/>
        </w:rPr>
        <w:t xml:space="preserve">; </w:t>
      </w:r>
    </w:p>
    <w:p w:rsidR="00017D6E" w:rsidRDefault="00561AB7" w:rsidP="00DD2EC1">
      <w:pPr>
        <w:spacing w:before="0" w:after="0"/>
        <w:ind w:left="200"/>
        <w:contextualSpacing/>
        <w:jc w:val="both"/>
        <w:rPr>
          <w:rStyle w:val="Subst"/>
          <w:bCs/>
          <w:iCs/>
        </w:rPr>
      </w:pPr>
      <w:hyperlink r:id="rId12" w:history="1">
        <w:r w:rsidR="00A40B8F" w:rsidRPr="005D0809">
          <w:rPr>
            <w:rStyle w:val="ac"/>
            <w:bCs/>
            <w:iCs/>
          </w:rPr>
          <w:t>https://tzacom.ru/about/disclosure-of-information/accounting-financial-statements/</w:t>
        </w:r>
      </w:hyperlink>
    </w:p>
    <w:p w:rsidR="00A40B8F" w:rsidRPr="003F3282" w:rsidRDefault="00A40B8F" w:rsidP="00DD2EC1">
      <w:pPr>
        <w:spacing w:before="0" w:after="0"/>
        <w:ind w:left="200"/>
        <w:contextualSpacing/>
        <w:jc w:val="both"/>
      </w:pPr>
    </w:p>
    <w:sectPr w:rsidR="00A40B8F" w:rsidRPr="003F3282">
      <w:footerReference w:type="default" r:id="rId13"/>
      <w:pgSz w:w="11907" w:h="16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AB7" w:rsidRDefault="00561AB7">
      <w:pPr>
        <w:spacing w:before="0" w:after="0"/>
      </w:pPr>
      <w:r>
        <w:separator/>
      </w:r>
    </w:p>
  </w:endnote>
  <w:endnote w:type="continuationSeparator" w:id="0">
    <w:p w:rsidR="00561AB7" w:rsidRDefault="00561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599305"/>
      <w:docPartObj>
        <w:docPartGallery w:val="Page Numbers (Bottom of Page)"/>
        <w:docPartUnique/>
      </w:docPartObj>
    </w:sdtPr>
    <w:sdtEndPr/>
    <w:sdtContent>
      <w:p w:rsidR="00D530CC" w:rsidRDefault="00D530CC" w:rsidP="00F66880">
        <w:pPr>
          <w:pStyle w:val="aa"/>
          <w:framePr w:wrap="auto" w:hAnchor="text" w:xAlign="righ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32">
          <w:rPr>
            <w:noProof/>
          </w:rPr>
          <w:t>19</w:t>
        </w:r>
        <w:r>
          <w:fldChar w:fldCharType="end"/>
        </w:r>
      </w:p>
    </w:sdtContent>
  </w:sdt>
  <w:p w:rsidR="00D530CC" w:rsidRDefault="00D530CC">
    <w:pPr>
      <w:framePr w:wrap="auto" w:hAnchor="text" w:xAlign="righ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AB7" w:rsidRDefault="00561AB7">
      <w:pPr>
        <w:spacing w:before="0" w:after="0"/>
      </w:pPr>
      <w:r>
        <w:separator/>
      </w:r>
    </w:p>
  </w:footnote>
  <w:footnote w:type="continuationSeparator" w:id="0">
    <w:p w:rsidR="00561AB7" w:rsidRDefault="00561A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80D43"/>
    <w:multiLevelType w:val="hybridMultilevel"/>
    <w:tmpl w:val="90AA67F0"/>
    <w:lvl w:ilvl="0" w:tplc="CDE8C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AF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6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23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5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6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E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8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CC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8F"/>
    <w:rsid w:val="00013528"/>
    <w:rsid w:val="00016F90"/>
    <w:rsid w:val="00017D6E"/>
    <w:rsid w:val="00027B48"/>
    <w:rsid w:val="000479F8"/>
    <w:rsid w:val="00063AB3"/>
    <w:rsid w:val="00072D25"/>
    <w:rsid w:val="00087704"/>
    <w:rsid w:val="000E041B"/>
    <w:rsid w:val="000E3882"/>
    <w:rsid w:val="000E4B78"/>
    <w:rsid w:val="0013280C"/>
    <w:rsid w:val="00132EBC"/>
    <w:rsid w:val="00176E3D"/>
    <w:rsid w:val="00177550"/>
    <w:rsid w:val="00184C9E"/>
    <w:rsid w:val="00194F41"/>
    <w:rsid w:val="001B5FD7"/>
    <w:rsid w:val="00200879"/>
    <w:rsid w:val="00203B02"/>
    <w:rsid w:val="002171A5"/>
    <w:rsid w:val="00226CCC"/>
    <w:rsid w:val="00231ABF"/>
    <w:rsid w:val="00243359"/>
    <w:rsid w:val="00244845"/>
    <w:rsid w:val="00250DB4"/>
    <w:rsid w:val="002667BB"/>
    <w:rsid w:val="002A42DC"/>
    <w:rsid w:val="002D55BB"/>
    <w:rsid w:val="00330B13"/>
    <w:rsid w:val="0034132B"/>
    <w:rsid w:val="003434AB"/>
    <w:rsid w:val="003B7588"/>
    <w:rsid w:val="003E5E0E"/>
    <w:rsid w:val="003F3282"/>
    <w:rsid w:val="003F5C9E"/>
    <w:rsid w:val="00414766"/>
    <w:rsid w:val="004176F0"/>
    <w:rsid w:val="00457232"/>
    <w:rsid w:val="00486D57"/>
    <w:rsid w:val="004E70D8"/>
    <w:rsid w:val="00502D74"/>
    <w:rsid w:val="00527D4B"/>
    <w:rsid w:val="00543E5B"/>
    <w:rsid w:val="00561AB7"/>
    <w:rsid w:val="0058292A"/>
    <w:rsid w:val="00592885"/>
    <w:rsid w:val="005A7CBC"/>
    <w:rsid w:val="005F0C19"/>
    <w:rsid w:val="005F3496"/>
    <w:rsid w:val="006206E1"/>
    <w:rsid w:val="006360DE"/>
    <w:rsid w:val="00636825"/>
    <w:rsid w:val="0064027C"/>
    <w:rsid w:val="00663160"/>
    <w:rsid w:val="006C29BE"/>
    <w:rsid w:val="006C44FC"/>
    <w:rsid w:val="006E6B9B"/>
    <w:rsid w:val="00790A27"/>
    <w:rsid w:val="007B78C1"/>
    <w:rsid w:val="007C3238"/>
    <w:rsid w:val="007F2AB9"/>
    <w:rsid w:val="00801A3E"/>
    <w:rsid w:val="00811682"/>
    <w:rsid w:val="00833A5E"/>
    <w:rsid w:val="008A0E9E"/>
    <w:rsid w:val="008A14AE"/>
    <w:rsid w:val="008B47A7"/>
    <w:rsid w:val="008C47CA"/>
    <w:rsid w:val="008E1716"/>
    <w:rsid w:val="008F75A5"/>
    <w:rsid w:val="009073BE"/>
    <w:rsid w:val="00915B7D"/>
    <w:rsid w:val="00916A54"/>
    <w:rsid w:val="00974CB4"/>
    <w:rsid w:val="009757C0"/>
    <w:rsid w:val="00992CB1"/>
    <w:rsid w:val="009A0ABA"/>
    <w:rsid w:val="009B79F6"/>
    <w:rsid w:val="009D4202"/>
    <w:rsid w:val="00A04718"/>
    <w:rsid w:val="00A40B8F"/>
    <w:rsid w:val="00A66D9A"/>
    <w:rsid w:val="00A71C5F"/>
    <w:rsid w:val="00A76A71"/>
    <w:rsid w:val="00A843AD"/>
    <w:rsid w:val="00AB0CE7"/>
    <w:rsid w:val="00AC4BC3"/>
    <w:rsid w:val="00AD69BA"/>
    <w:rsid w:val="00B244A2"/>
    <w:rsid w:val="00B6149C"/>
    <w:rsid w:val="00B749CD"/>
    <w:rsid w:val="00B82B2A"/>
    <w:rsid w:val="00B86FEC"/>
    <w:rsid w:val="00B87222"/>
    <w:rsid w:val="00BA050F"/>
    <w:rsid w:val="00BA1F27"/>
    <w:rsid w:val="00BE392C"/>
    <w:rsid w:val="00C1538E"/>
    <w:rsid w:val="00C76F0B"/>
    <w:rsid w:val="00C8712B"/>
    <w:rsid w:val="00CA184A"/>
    <w:rsid w:val="00CC4C75"/>
    <w:rsid w:val="00CD52FC"/>
    <w:rsid w:val="00CD5BF0"/>
    <w:rsid w:val="00D15AA4"/>
    <w:rsid w:val="00D530CC"/>
    <w:rsid w:val="00D5637E"/>
    <w:rsid w:val="00D565FB"/>
    <w:rsid w:val="00D6408F"/>
    <w:rsid w:val="00D919F1"/>
    <w:rsid w:val="00DB0538"/>
    <w:rsid w:val="00DB4271"/>
    <w:rsid w:val="00DD191D"/>
    <w:rsid w:val="00DD2EC1"/>
    <w:rsid w:val="00E45549"/>
    <w:rsid w:val="00E459FE"/>
    <w:rsid w:val="00E52250"/>
    <w:rsid w:val="00E779B0"/>
    <w:rsid w:val="00E9505B"/>
    <w:rsid w:val="00ED0D62"/>
    <w:rsid w:val="00ED5288"/>
    <w:rsid w:val="00F04E44"/>
    <w:rsid w:val="00F14704"/>
    <w:rsid w:val="00F65A19"/>
    <w:rsid w:val="00F66880"/>
    <w:rsid w:val="00F94B82"/>
    <w:rsid w:val="00FB6F32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96BC0-37EC-4069-9633-92F28B0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BB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customStyle="1" w:styleId="futurismarkdown-paragraph">
    <w:name w:val="futurismarkdown-paragraph"/>
    <w:basedOn w:val="a"/>
    <w:rsid w:val="00543E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43E5B"/>
    <w:rPr>
      <w:rFonts w:cs="Times New Roman"/>
      <w:b/>
    </w:rPr>
  </w:style>
  <w:style w:type="paragraph" w:customStyle="1" w:styleId="Default">
    <w:name w:val="Default"/>
    <w:rsid w:val="00CC4C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C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84C9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688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66880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688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66880"/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A40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01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zacom.ru/about/disclosure-of-information/accounting-financial-state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closure.ru/portal/files.aspx?id=1355&amp;type=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zacom.ru/about/disclosure-of-information/accounting-financial-stat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1355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E6BC-59B1-4F73-B2D4-5F20169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11031</Words>
  <Characters>62883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Прохоркова Роза Абузаровна</dc:creator>
  <cp:lastModifiedBy>Анастасия</cp:lastModifiedBy>
  <cp:revision>2</cp:revision>
  <cp:lastPrinted>2025-05-27T03:19:00Z</cp:lastPrinted>
  <dcterms:created xsi:type="dcterms:W3CDTF">2025-05-27T15:34:00Z</dcterms:created>
  <dcterms:modified xsi:type="dcterms:W3CDTF">2025-05-27T15:34:00Z</dcterms:modified>
</cp:coreProperties>
</file>