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611B" w:rsidRDefault="0076611B" w:rsidP="00AC48B5">
      <w:pPr>
        <w:jc w:val="right"/>
      </w:pPr>
    </w:p>
    <w:p w:rsidR="0076611B" w:rsidRDefault="0076611B"/>
    <w:p w:rsidR="0076611B" w:rsidRDefault="0076611B">
      <w:pPr>
        <w:spacing w:before="960"/>
        <w:jc w:val="center"/>
        <w:rPr>
          <w:b/>
          <w:bCs/>
          <w:sz w:val="32"/>
          <w:szCs w:val="32"/>
        </w:rPr>
      </w:pPr>
      <w:r>
        <w:rPr>
          <w:b/>
          <w:bCs/>
          <w:sz w:val="32"/>
          <w:szCs w:val="32"/>
        </w:rPr>
        <w:t>ОТЧЕТ ЭМИТЕНТА ЭМИССИОННЫХ ЦЕННЫХ БУМАГ</w:t>
      </w:r>
    </w:p>
    <w:p w:rsidR="0076611B" w:rsidRDefault="0076611B">
      <w:pPr>
        <w:spacing w:before="600"/>
        <w:jc w:val="center"/>
        <w:rPr>
          <w:b/>
          <w:bCs/>
          <w:i/>
          <w:iCs/>
          <w:sz w:val="32"/>
          <w:szCs w:val="32"/>
        </w:rPr>
      </w:pPr>
      <w:r>
        <w:rPr>
          <w:b/>
          <w:bCs/>
          <w:i/>
          <w:iCs/>
          <w:sz w:val="32"/>
          <w:szCs w:val="32"/>
        </w:rPr>
        <w:t>Публичное акционерное общество "Мордовская энергосбытовая компания"</w:t>
      </w:r>
    </w:p>
    <w:p w:rsidR="0076611B" w:rsidRDefault="0076611B">
      <w:pPr>
        <w:spacing w:before="120"/>
        <w:jc w:val="center"/>
        <w:rPr>
          <w:b/>
          <w:bCs/>
          <w:i/>
          <w:iCs/>
          <w:sz w:val="28"/>
          <w:szCs w:val="28"/>
        </w:rPr>
      </w:pPr>
      <w:r>
        <w:rPr>
          <w:b/>
          <w:bCs/>
          <w:i/>
          <w:iCs/>
          <w:sz w:val="28"/>
          <w:szCs w:val="28"/>
        </w:rPr>
        <w:t>Код эмитента: 55055-E</w:t>
      </w:r>
    </w:p>
    <w:p w:rsidR="0076611B" w:rsidRDefault="00BF1CF4">
      <w:pPr>
        <w:spacing w:before="360"/>
        <w:jc w:val="center"/>
        <w:rPr>
          <w:b/>
          <w:bCs/>
          <w:sz w:val="32"/>
          <w:szCs w:val="32"/>
        </w:rPr>
      </w:pPr>
      <w:r>
        <w:rPr>
          <w:b/>
          <w:bCs/>
          <w:sz w:val="32"/>
          <w:szCs w:val="32"/>
        </w:rPr>
        <w:t>за</w:t>
      </w:r>
      <w:r w:rsidR="0076611B">
        <w:rPr>
          <w:b/>
          <w:bCs/>
          <w:sz w:val="32"/>
          <w:szCs w:val="32"/>
        </w:rPr>
        <w:t xml:space="preserve"> 12 месяцев 2024 г.</w:t>
      </w:r>
    </w:p>
    <w:p w:rsidR="0076611B" w:rsidRDefault="0076611B">
      <w:pPr>
        <w:spacing w:before="600" w:after="360"/>
        <w:jc w:val="center"/>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rsidR="0076611B" w:rsidRDefault="0076611B"/>
    <w:tbl>
      <w:tblPr>
        <w:tblW w:w="0" w:type="auto"/>
        <w:tblLayout w:type="fixed"/>
        <w:tblCellMar>
          <w:left w:w="72" w:type="dxa"/>
          <w:right w:w="72" w:type="dxa"/>
        </w:tblCellMar>
        <w:tblLook w:val="0000" w:firstRow="0" w:lastRow="0" w:firstColumn="0" w:lastColumn="0" w:noHBand="0" w:noVBand="0"/>
      </w:tblPr>
      <w:tblGrid>
        <w:gridCol w:w="1892"/>
        <w:gridCol w:w="7360"/>
        <w:gridCol w:w="360"/>
      </w:tblGrid>
      <w:tr w:rsidR="0076611B">
        <w:trPr>
          <w:gridAfter w:val="1"/>
          <w:wAfter w:w="360" w:type="dxa"/>
        </w:trPr>
        <w:tc>
          <w:tcPr>
            <w:tcW w:w="1892" w:type="dxa"/>
            <w:tcBorders>
              <w:top w:val="single" w:sz="6" w:space="0" w:color="auto"/>
              <w:left w:val="single" w:sz="6" w:space="0" w:color="auto"/>
              <w:bottom w:val="nil"/>
              <w:right w:val="nil"/>
            </w:tcBorders>
          </w:tcPr>
          <w:p w:rsidR="0076611B" w:rsidRDefault="0076611B">
            <w:r>
              <w:t>Адрес эмитента</w:t>
            </w:r>
          </w:p>
        </w:tc>
        <w:tc>
          <w:tcPr>
            <w:tcW w:w="7360" w:type="dxa"/>
            <w:tcBorders>
              <w:top w:val="single" w:sz="6" w:space="0" w:color="auto"/>
              <w:left w:val="nil"/>
              <w:bottom w:val="nil"/>
              <w:right w:val="single" w:sz="6" w:space="0" w:color="auto"/>
            </w:tcBorders>
          </w:tcPr>
          <w:p w:rsidR="0076611B" w:rsidRDefault="0076611B">
            <w:pPr>
              <w:rPr>
                <w:b/>
                <w:bCs/>
              </w:rPr>
            </w:pPr>
            <w:r>
              <w:rPr>
                <w:b/>
                <w:bCs/>
              </w:rPr>
              <w:t>430016, Российская Федерация, Республика Мордовия, г. Саранск, ул. Большевистская, д.117А</w:t>
            </w:r>
          </w:p>
        </w:tc>
      </w:tr>
      <w:tr w:rsidR="0076611B">
        <w:tc>
          <w:tcPr>
            <w:tcW w:w="1892" w:type="dxa"/>
            <w:tcBorders>
              <w:top w:val="nil"/>
              <w:left w:val="single" w:sz="6" w:space="0" w:color="auto"/>
              <w:bottom w:val="single" w:sz="6" w:space="0" w:color="auto"/>
              <w:right w:val="nil"/>
            </w:tcBorders>
          </w:tcPr>
          <w:p w:rsidR="0076611B" w:rsidRDefault="0076611B">
            <w:r>
              <w:t>Контактное лицо эмитента</w:t>
            </w:r>
          </w:p>
        </w:tc>
        <w:tc>
          <w:tcPr>
            <w:tcW w:w="7360" w:type="dxa"/>
            <w:tcBorders>
              <w:top w:val="nil"/>
              <w:left w:val="nil"/>
              <w:bottom w:val="single" w:sz="6" w:space="0" w:color="auto"/>
              <w:right w:val="single" w:sz="6" w:space="0" w:color="auto"/>
            </w:tcBorders>
          </w:tcPr>
          <w:p w:rsidR="0076611B" w:rsidRDefault="0076611B">
            <w:r>
              <w:rPr>
                <w:b/>
                <w:bCs/>
              </w:rPr>
              <w:t>Зубанова Татьяна Михайловна, Начальник отдела корпоративного управления</w:t>
            </w:r>
          </w:p>
          <w:p w:rsidR="0076611B" w:rsidRDefault="0076611B">
            <w:r>
              <w:t>Телефон:</w:t>
            </w:r>
            <w:r>
              <w:rPr>
                <w:b/>
                <w:bCs/>
              </w:rPr>
              <w:t xml:space="preserve"> (8342)23-48-77</w:t>
            </w:r>
          </w:p>
          <w:p w:rsidR="0076611B" w:rsidRDefault="0076611B">
            <w:pPr>
              <w:rPr>
                <w:b/>
                <w:bCs/>
              </w:rPr>
            </w:pPr>
            <w:r>
              <w:t>Адрес электронной почты:</w:t>
            </w:r>
            <w:r>
              <w:rPr>
                <w:b/>
                <w:bCs/>
              </w:rPr>
              <w:t xml:space="preserve"> </w:t>
            </w:r>
            <w:hyperlink r:id="rId8" w:history="1">
              <w:r w:rsidRPr="00713C62">
                <w:rPr>
                  <w:rStyle w:val="a5"/>
                  <w:b/>
                  <w:bCs/>
                </w:rPr>
                <w:t>ztm@mesk.ru</w:t>
              </w:r>
            </w:hyperlink>
            <w:r>
              <w:rPr>
                <w:b/>
                <w:bCs/>
              </w:rPr>
              <w:t xml:space="preserve"> </w:t>
            </w:r>
          </w:p>
        </w:tc>
        <w:tc>
          <w:tcPr>
            <w:tcW w:w="360" w:type="dxa"/>
          </w:tcPr>
          <w:p w:rsidR="0076611B" w:rsidRDefault="0076611B"/>
        </w:tc>
      </w:tr>
    </w:tbl>
    <w:p w:rsidR="0076611B" w:rsidRDefault="0076611B"/>
    <w:tbl>
      <w:tblPr>
        <w:tblW w:w="0" w:type="auto"/>
        <w:tblLayout w:type="fixed"/>
        <w:tblCellMar>
          <w:left w:w="72" w:type="dxa"/>
          <w:right w:w="72" w:type="dxa"/>
        </w:tblCellMar>
        <w:tblLook w:val="0000" w:firstRow="0" w:lastRow="0" w:firstColumn="0" w:lastColumn="0" w:noHBand="0" w:noVBand="0"/>
      </w:tblPr>
      <w:tblGrid>
        <w:gridCol w:w="1892"/>
        <w:gridCol w:w="7360"/>
      </w:tblGrid>
      <w:tr w:rsidR="0076611B">
        <w:tc>
          <w:tcPr>
            <w:tcW w:w="1892" w:type="dxa"/>
            <w:tcBorders>
              <w:top w:val="single" w:sz="6" w:space="0" w:color="auto"/>
              <w:left w:val="single" w:sz="6" w:space="0" w:color="auto"/>
              <w:bottom w:val="single" w:sz="6" w:space="0" w:color="auto"/>
              <w:right w:val="nil"/>
            </w:tcBorders>
          </w:tcPr>
          <w:p w:rsidR="0076611B" w:rsidRDefault="0076611B">
            <w:r>
              <w:t>Адрес страницы в сети Интернет</w:t>
            </w:r>
          </w:p>
        </w:tc>
        <w:tc>
          <w:tcPr>
            <w:tcW w:w="7360" w:type="dxa"/>
            <w:tcBorders>
              <w:top w:val="single" w:sz="6" w:space="0" w:color="auto"/>
              <w:left w:val="nil"/>
              <w:bottom w:val="single" w:sz="6" w:space="0" w:color="auto"/>
              <w:right w:val="single" w:sz="6" w:space="0" w:color="auto"/>
            </w:tcBorders>
          </w:tcPr>
          <w:p w:rsidR="0076611B" w:rsidRDefault="008D47EC" w:rsidP="0076611B">
            <w:pPr>
              <w:rPr>
                <w:b/>
                <w:bCs/>
              </w:rPr>
            </w:pPr>
            <w:hyperlink r:id="rId9" w:history="1">
              <w:r w:rsidR="0076611B" w:rsidRPr="00713C62">
                <w:rPr>
                  <w:rStyle w:val="a5"/>
                  <w:b/>
                  <w:bCs/>
                </w:rPr>
                <w:t>https://www.e-disclosure.ru/portal/files.aspx?id=5754&amp;type=5</w:t>
              </w:r>
            </w:hyperlink>
            <w:r w:rsidR="0076611B">
              <w:rPr>
                <w:b/>
                <w:bCs/>
              </w:rPr>
              <w:t xml:space="preserve">; </w:t>
            </w:r>
            <w:hyperlink r:id="rId10" w:history="1">
              <w:r w:rsidR="0076611B" w:rsidRPr="00713C62">
                <w:rPr>
                  <w:rStyle w:val="a5"/>
                  <w:b/>
                  <w:bCs/>
                </w:rPr>
                <w:t>https://www.mesk.ru/raskrytie_informacyi/raskrytie_informatsii_emitentom/?SECTION_ID=15</w:t>
              </w:r>
            </w:hyperlink>
            <w:r w:rsidR="0076611B">
              <w:rPr>
                <w:b/>
                <w:bCs/>
              </w:rPr>
              <w:t xml:space="preserve"> </w:t>
            </w:r>
          </w:p>
        </w:tc>
      </w:tr>
    </w:tbl>
    <w:p w:rsidR="0076611B" w:rsidRDefault="0076611B"/>
    <w:tbl>
      <w:tblPr>
        <w:tblW w:w="0" w:type="auto"/>
        <w:tblLayout w:type="fixed"/>
        <w:tblCellMar>
          <w:left w:w="72" w:type="dxa"/>
          <w:right w:w="72" w:type="dxa"/>
        </w:tblCellMar>
        <w:tblLook w:val="0000" w:firstRow="0" w:lastRow="0" w:firstColumn="0" w:lastColumn="0" w:noHBand="0" w:noVBand="0"/>
      </w:tblPr>
      <w:tblGrid>
        <w:gridCol w:w="5572"/>
        <w:gridCol w:w="3680"/>
      </w:tblGrid>
      <w:tr w:rsidR="0076611B">
        <w:tc>
          <w:tcPr>
            <w:tcW w:w="5572" w:type="dxa"/>
            <w:tcBorders>
              <w:top w:val="single" w:sz="6" w:space="0" w:color="auto"/>
              <w:left w:val="single" w:sz="6" w:space="0" w:color="auto"/>
              <w:bottom w:val="single" w:sz="6" w:space="0" w:color="auto"/>
              <w:right w:val="nil"/>
            </w:tcBorders>
          </w:tcPr>
          <w:p w:rsidR="0076611B" w:rsidRDefault="0076611B">
            <w:pPr>
              <w:spacing w:before="120"/>
            </w:pPr>
          </w:p>
          <w:p w:rsidR="0076611B" w:rsidRDefault="0076611B">
            <w:pPr>
              <w:spacing w:before="200"/>
            </w:pPr>
            <w:r>
              <w:t>Генеральный директор</w:t>
            </w:r>
          </w:p>
          <w:p w:rsidR="0076611B" w:rsidRDefault="0076611B">
            <w:r>
              <w:t>Дата: 25 апреля 2025 г.</w:t>
            </w:r>
          </w:p>
        </w:tc>
        <w:tc>
          <w:tcPr>
            <w:tcW w:w="3680" w:type="dxa"/>
            <w:tcBorders>
              <w:top w:val="single" w:sz="6" w:space="0" w:color="auto"/>
              <w:left w:val="nil"/>
              <w:bottom w:val="single" w:sz="6" w:space="0" w:color="auto"/>
              <w:right w:val="single" w:sz="6" w:space="0" w:color="auto"/>
            </w:tcBorders>
          </w:tcPr>
          <w:p w:rsidR="0076611B" w:rsidRDefault="0076611B"/>
          <w:p w:rsidR="0076611B" w:rsidRDefault="0076611B">
            <w:pPr>
              <w:spacing w:before="200" w:after="200"/>
            </w:pPr>
            <w:r>
              <w:br/>
              <w:t>____________ В.А. Лялькин</w:t>
            </w:r>
            <w:r>
              <w:br/>
              <w:t xml:space="preserve">    подпись</w:t>
            </w:r>
          </w:p>
        </w:tc>
      </w:tr>
    </w:tbl>
    <w:p w:rsidR="0076611B" w:rsidRDefault="0076611B"/>
    <w:p w:rsidR="0076611B" w:rsidRDefault="0076611B"/>
    <w:p w:rsidR="0076611B" w:rsidRDefault="0076611B" w:rsidP="00AC48B5">
      <w:pPr>
        <w:pStyle w:val="1"/>
        <w:tabs>
          <w:tab w:val="center" w:pos="4414"/>
          <w:tab w:val="right" w:pos="8828"/>
        </w:tabs>
        <w:jc w:val="left"/>
      </w:pPr>
      <w:r>
        <w:br w:type="page"/>
      </w:r>
      <w:bookmarkStart w:id="0" w:name="_Toc196398442"/>
      <w:r w:rsidR="00AC48B5">
        <w:lastRenderedPageBreak/>
        <w:tab/>
      </w:r>
      <w:r>
        <w:t>Оглавление</w:t>
      </w:r>
      <w:bookmarkEnd w:id="0"/>
      <w:r w:rsidR="00AC48B5">
        <w:tab/>
      </w:r>
    </w:p>
    <w:p w:rsidR="00C56E93" w:rsidRDefault="0076611B">
      <w:pPr>
        <w:pStyle w:val="11"/>
        <w:tabs>
          <w:tab w:val="right" w:leader="dot" w:pos="8919"/>
        </w:tabs>
        <w:rPr>
          <w:rFonts w:asciiTheme="minorHAnsi" w:hAnsiTheme="minorHAnsi" w:cstheme="minorBidi"/>
          <w:noProof/>
          <w:sz w:val="22"/>
          <w:szCs w:val="22"/>
        </w:rPr>
      </w:pPr>
      <w:r>
        <w:fldChar w:fldCharType="begin"/>
      </w:r>
      <w:r>
        <w:instrText>TOC</w:instrText>
      </w:r>
      <w:r>
        <w:fldChar w:fldCharType="separate"/>
      </w:r>
      <w:r w:rsidR="00C56E93">
        <w:rPr>
          <w:noProof/>
        </w:rPr>
        <w:t>Оглавление</w:t>
      </w:r>
      <w:r w:rsidR="00C56E93">
        <w:rPr>
          <w:noProof/>
        </w:rPr>
        <w:tab/>
      </w:r>
      <w:r w:rsidR="00C56E93">
        <w:rPr>
          <w:noProof/>
        </w:rPr>
        <w:fldChar w:fldCharType="begin"/>
      </w:r>
      <w:r w:rsidR="00C56E93">
        <w:rPr>
          <w:noProof/>
        </w:rPr>
        <w:instrText xml:space="preserve"> PAGEREF _Toc196398442 \h </w:instrText>
      </w:r>
      <w:r w:rsidR="00C56E93">
        <w:rPr>
          <w:noProof/>
        </w:rPr>
      </w:r>
      <w:r w:rsidR="00C56E93">
        <w:rPr>
          <w:noProof/>
        </w:rPr>
        <w:fldChar w:fldCharType="separate"/>
      </w:r>
      <w:r w:rsidR="00B65B2A">
        <w:rPr>
          <w:noProof/>
        </w:rPr>
        <w:t>2</w:t>
      </w:r>
      <w:r w:rsidR="00C56E93">
        <w:rPr>
          <w:noProof/>
        </w:rPr>
        <w:fldChar w:fldCharType="end"/>
      </w:r>
    </w:p>
    <w:p w:rsidR="00C56E93" w:rsidRDefault="00C56E93">
      <w:pPr>
        <w:pStyle w:val="11"/>
        <w:tabs>
          <w:tab w:val="right" w:leader="dot" w:pos="8919"/>
        </w:tabs>
        <w:rPr>
          <w:rFonts w:asciiTheme="minorHAnsi" w:hAnsiTheme="minorHAnsi" w:cstheme="minorBidi"/>
          <w:noProof/>
          <w:sz w:val="22"/>
          <w:szCs w:val="22"/>
        </w:rPr>
      </w:pPr>
      <w:r>
        <w:rPr>
          <w:noProof/>
        </w:rPr>
        <w:t>Введение</w:t>
      </w:r>
      <w:r>
        <w:rPr>
          <w:noProof/>
        </w:rPr>
        <w:tab/>
      </w:r>
      <w:r>
        <w:rPr>
          <w:noProof/>
        </w:rPr>
        <w:fldChar w:fldCharType="begin"/>
      </w:r>
      <w:r>
        <w:rPr>
          <w:noProof/>
        </w:rPr>
        <w:instrText xml:space="preserve"> PAGEREF _Toc196398443 \h </w:instrText>
      </w:r>
      <w:r>
        <w:rPr>
          <w:noProof/>
        </w:rPr>
      </w:r>
      <w:r>
        <w:rPr>
          <w:noProof/>
        </w:rPr>
        <w:fldChar w:fldCharType="separate"/>
      </w:r>
      <w:r w:rsidR="00B65B2A">
        <w:rPr>
          <w:noProof/>
        </w:rPr>
        <w:t>4</w:t>
      </w:r>
      <w:r>
        <w:rPr>
          <w:noProof/>
        </w:rPr>
        <w:fldChar w:fldCharType="end"/>
      </w:r>
    </w:p>
    <w:p w:rsidR="00C56E93" w:rsidRDefault="00C56E93">
      <w:pPr>
        <w:pStyle w:val="11"/>
        <w:tabs>
          <w:tab w:val="right" w:leader="dot" w:pos="8919"/>
        </w:tabs>
        <w:rPr>
          <w:rFonts w:asciiTheme="minorHAnsi" w:hAnsiTheme="minorHAnsi" w:cstheme="minorBidi"/>
          <w:noProof/>
          <w:sz w:val="22"/>
          <w:szCs w:val="22"/>
        </w:rPr>
      </w:pPr>
      <w:r>
        <w:rPr>
          <w:noProof/>
        </w:rPr>
        <w:t>Раздел 1. Управленческий отчет эмитента</w:t>
      </w:r>
      <w:r>
        <w:rPr>
          <w:noProof/>
        </w:rPr>
        <w:tab/>
      </w:r>
      <w:r>
        <w:rPr>
          <w:noProof/>
        </w:rPr>
        <w:fldChar w:fldCharType="begin"/>
      </w:r>
      <w:r>
        <w:rPr>
          <w:noProof/>
        </w:rPr>
        <w:instrText xml:space="preserve"> PAGEREF _Toc196398444 \h </w:instrText>
      </w:r>
      <w:r>
        <w:rPr>
          <w:noProof/>
        </w:rPr>
      </w:r>
      <w:r>
        <w:rPr>
          <w:noProof/>
        </w:rPr>
        <w:fldChar w:fldCharType="separate"/>
      </w:r>
      <w:r w:rsidR="00B65B2A">
        <w:rPr>
          <w:noProof/>
        </w:rPr>
        <w:t>4</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1.1. Общие сведения об эмитенте и его деятельности</w:t>
      </w:r>
      <w:r>
        <w:rPr>
          <w:noProof/>
        </w:rPr>
        <w:tab/>
      </w:r>
      <w:r>
        <w:rPr>
          <w:noProof/>
        </w:rPr>
        <w:fldChar w:fldCharType="begin"/>
      </w:r>
      <w:r>
        <w:rPr>
          <w:noProof/>
        </w:rPr>
        <w:instrText xml:space="preserve"> PAGEREF _Toc196398445 \h </w:instrText>
      </w:r>
      <w:r>
        <w:rPr>
          <w:noProof/>
        </w:rPr>
      </w:r>
      <w:r>
        <w:rPr>
          <w:noProof/>
        </w:rPr>
        <w:fldChar w:fldCharType="separate"/>
      </w:r>
      <w:r w:rsidR="00B65B2A">
        <w:rPr>
          <w:noProof/>
        </w:rPr>
        <w:t>4</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1.2. Сведения о положении эмитента в отрасли</w:t>
      </w:r>
      <w:r>
        <w:rPr>
          <w:noProof/>
        </w:rPr>
        <w:tab/>
      </w:r>
      <w:r>
        <w:rPr>
          <w:noProof/>
        </w:rPr>
        <w:fldChar w:fldCharType="begin"/>
      </w:r>
      <w:r>
        <w:rPr>
          <w:noProof/>
        </w:rPr>
        <w:instrText xml:space="preserve"> PAGEREF _Toc196398446 \h </w:instrText>
      </w:r>
      <w:r>
        <w:rPr>
          <w:noProof/>
        </w:rPr>
      </w:r>
      <w:r>
        <w:rPr>
          <w:noProof/>
        </w:rPr>
        <w:fldChar w:fldCharType="separate"/>
      </w:r>
      <w:r w:rsidR="00B65B2A">
        <w:rPr>
          <w:noProof/>
        </w:rPr>
        <w:t>6</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1.3. Основные операционные показатели, характеризующие деятельность эмитента</w:t>
      </w:r>
      <w:r>
        <w:rPr>
          <w:noProof/>
        </w:rPr>
        <w:tab/>
      </w:r>
      <w:r>
        <w:rPr>
          <w:noProof/>
        </w:rPr>
        <w:fldChar w:fldCharType="begin"/>
      </w:r>
      <w:r>
        <w:rPr>
          <w:noProof/>
        </w:rPr>
        <w:instrText xml:space="preserve"> PAGEREF _Toc196398447 \h </w:instrText>
      </w:r>
      <w:r>
        <w:rPr>
          <w:noProof/>
        </w:rPr>
      </w:r>
      <w:r>
        <w:rPr>
          <w:noProof/>
        </w:rPr>
        <w:fldChar w:fldCharType="separate"/>
      </w:r>
      <w:r w:rsidR="00B65B2A">
        <w:rPr>
          <w:noProof/>
        </w:rPr>
        <w:t>9</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1.4. Основные финансовые показатели эмитента</w:t>
      </w:r>
      <w:r>
        <w:rPr>
          <w:noProof/>
        </w:rPr>
        <w:tab/>
      </w:r>
      <w:r>
        <w:rPr>
          <w:noProof/>
        </w:rPr>
        <w:fldChar w:fldCharType="begin"/>
      </w:r>
      <w:r>
        <w:rPr>
          <w:noProof/>
        </w:rPr>
        <w:instrText xml:space="preserve"> PAGEREF _Toc196398448 \h </w:instrText>
      </w:r>
      <w:r>
        <w:rPr>
          <w:noProof/>
        </w:rPr>
      </w:r>
      <w:r>
        <w:rPr>
          <w:noProof/>
        </w:rPr>
        <w:fldChar w:fldCharType="separate"/>
      </w:r>
      <w:r w:rsidR="00B65B2A">
        <w:rPr>
          <w:noProof/>
        </w:rPr>
        <w:t>11</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1.4.1. Финансовые показатели, рассчитываемые на основе консолидированной финансовой отчетности (финансовой отчетности)</w:t>
      </w:r>
      <w:r>
        <w:rPr>
          <w:noProof/>
        </w:rPr>
        <w:tab/>
      </w:r>
      <w:r>
        <w:rPr>
          <w:noProof/>
        </w:rPr>
        <w:fldChar w:fldCharType="begin"/>
      </w:r>
      <w:r>
        <w:rPr>
          <w:noProof/>
        </w:rPr>
        <w:instrText xml:space="preserve"> PAGEREF _Toc196398449 \h </w:instrText>
      </w:r>
      <w:r>
        <w:rPr>
          <w:noProof/>
        </w:rPr>
      </w:r>
      <w:r>
        <w:rPr>
          <w:noProof/>
        </w:rPr>
        <w:fldChar w:fldCharType="separate"/>
      </w:r>
      <w:r w:rsidR="00B65B2A">
        <w:rPr>
          <w:noProof/>
        </w:rPr>
        <w:t>11</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1.4.2. Финансовые показатели, рассчитываемые на основе бухгалтерской (финансовой) отчетности</w:t>
      </w:r>
      <w:r>
        <w:rPr>
          <w:noProof/>
        </w:rPr>
        <w:tab/>
      </w:r>
      <w:r>
        <w:rPr>
          <w:noProof/>
        </w:rPr>
        <w:fldChar w:fldCharType="begin"/>
      </w:r>
      <w:r>
        <w:rPr>
          <w:noProof/>
        </w:rPr>
        <w:instrText xml:space="preserve"> PAGEREF _Toc196398450 \h </w:instrText>
      </w:r>
      <w:r>
        <w:rPr>
          <w:noProof/>
        </w:rPr>
      </w:r>
      <w:r>
        <w:rPr>
          <w:noProof/>
        </w:rPr>
        <w:fldChar w:fldCharType="separate"/>
      </w:r>
      <w:r w:rsidR="00B65B2A">
        <w:rPr>
          <w:noProof/>
        </w:rPr>
        <w:t>12</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1.4.3. Финансовые показатели кредитной организации</w:t>
      </w:r>
      <w:r>
        <w:rPr>
          <w:noProof/>
        </w:rPr>
        <w:tab/>
      </w:r>
      <w:r>
        <w:rPr>
          <w:noProof/>
        </w:rPr>
        <w:fldChar w:fldCharType="begin"/>
      </w:r>
      <w:r>
        <w:rPr>
          <w:noProof/>
        </w:rPr>
        <w:instrText xml:space="preserve"> PAGEREF _Toc196398451 \h </w:instrText>
      </w:r>
      <w:r>
        <w:rPr>
          <w:noProof/>
        </w:rPr>
      </w:r>
      <w:r>
        <w:rPr>
          <w:noProof/>
        </w:rPr>
        <w:fldChar w:fldCharType="separate"/>
      </w:r>
      <w:r w:rsidR="00B65B2A">
        <w:rPr>
          <w:noProof/>
        </w:rPr>
        <w:t>12</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1.4.4. Иные финансовые показатели</w:t>
      </w:r>
      <w:r>
        <w:rPr>
          <w:noProof/>
        </w:rPr>
        <w:tab/>
      </w:r>
      <w:r>
        <w:rPr>
          <w:noProof/>
        </w:rPr>
        <w:fldChar w:fldCharType="begin"/>
      </w:r>
      <w:r>
        <w:rPr>
          <w:noProof/>
        </w:rPr>
        <w:instrText xml:space="preserve"> PAGEREF _Toc196398452 \h </w:instrText>
      </w:r>
      <w:r>
        <w:rPr>
          <w:noProof/>
        </w:rPr>
      </w:r>
      <w:r>
        <w:rPr>
          <w:noProof/>
        </w:rPr>
        <w:fldChar w:fldCharType="separate"/>
      </w:r>
      <w:r w:rsidR="00B65B2A">
        <w:rPr>
          <w:noProof/>
        </w:rPr>
        <w:t>12</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1.4.5. Анализ динамики изменения финансовых показателей, приведенных в подпунктах 1.4.1 - 1.4.4 настоящего пункта</w:t>
      </w:r>
      <w:r>
        <w:rPr>
          <w:noProof/>
        </w:rPr>
        <w:tab/>
      </w:r>
      <w:r>
        <w:rPr>
          <w:noProof/>
        </w:rPr>
        <w:fldChar w:fldCharType="begin"/>
      </w:r>
      <w:r>
        <w:rPr>
          <w:noProof/>
        </w:rPr>
        <w:instrText xml:space="preserve"> PAGEREF _Toc196398453 \h </w:instrText>
      </w:r>
      <w:r>
        <w:rPr>
          <w:noProof/>
        </w:rPr>
      </w:r>
      <w:r>
        <w:rPr>
          <w:noProof/>
        </w:rPr>
        <w:fldChar w:fldCharType="separate"/>
      </w:r>
      <w:r w:rsidR="00B65B2A">
        <w:rPr>
          <w:noProof/>
        </w:rPr>
        <w:t>12</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1.5. Сведения об основных поставщиках эмитента</w:t>
      </w:r>
      <w:r>
        <w:rPr>
          <w:noProof/>
        </w:rPr>
        <w:tab/>
      </w:r>
      <w:r>
        <w:rPr>
          <w:noProof/>
        </w:rPr>
        <w:fldChar w:fldCharType="begin"/>
      </w:r>
      <w:r>
        <w:rPr>
          <w:noProof/>
        </w:rPr>
        <w:instrText xml:space="preserve"> PAGEREF _Toc196398454 \h </w:instrText>
      </w:r>
      <w:r>
        <w:rPr>
          <w:noProof/>
        </w:rPr>
      </w:r>
      <w:r>
        <w:rPr>
          <w:noProof/>
        </w:rPr>
        <w:fldChar w:fldCharType="separate"/>
      </w:r>
      <w:r w:rsidR="00B65B2A">
        <w:rPr>
          <w:noProof/>
        </w:rPr>
        <w:t>12</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1.6. Сведения об основных дебиторах эмитента</w:t>
      </w:r>
      <w:r>
        <w:rPr>
          <w:noProof/>
        </w:rPr>
        <w:tab/>
      </w:r>
      <w:r>
        <w:rPr>
          <w:noProof/>
        </w:rPr>
        <w:fldChar w:fldCharType="begin"/>
      </w:r>
      <w:r>
        <w:rPr>
          <w:noProof/>
        </w:rPr>
        <w:instrText xml:space="preserve"> PAGEREF _Toc196398455 \h </w:instrText>
      </w:r>
      <w:r>
        <w:rPr>
          <w:noProof/>
        </w:rPr>
      </w:r>
      <w:r>
        <w:rPr>
          <w:noProof/>
        </w:rPr>
        <w:fldChar w:fldCharType="separate"/>
      </w:r>
      <w:r w:rsidR="00B65B2A">
        <w:rPr>
          <w:noProof/>
        </w:rPr>
        <w:t>13</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1.7. Сведения об обязательствах эмитента</w:t>
      </w:r>
      <w:r>
        <w:rPr>
          <w:noProof/>
        </w:rPr>
        <w:tab/>
      </w:r>
      <w:r>
        <w:rPr>
          <w:noProof/>
        </w:rPr>
        <w:fldChar w:fldCharType="begin"/>
      </w:r>
      <w:r>
        <w:rPr>
          <w:noProof/>
        </w:rPr>
        <w:instrText xml:space="preserve"> PAGEREF _Toc196398456 \h </w:instrText>
      </w:r>
      <w:r>
        <w:rPr>
          <w:noProof/>
        </w:rPr>
      </w:r>
      <w:r>
        <w:rPr>
          <w:noProof/>
        </w:rPr>
        <w:fldChar w:fldCharType="separate"/>
      </w:r>
      <w:r w:rsidR="00B65B2A">
        <w:rPr>
          <w:noProof/>
        </w:rPr>
        <w:t>13</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1.7.1. Сведения об основных кредиторах эмитента</w:t>
      </w:r>
      <w:r>
        <w:rPr>
          <w:noProof/>
        </w:rPr>
        <w:tab/>
      </w:r>
      <w:r>
        <w:rPr>
          <w:noProof/>
        </w:rPr>
        <w:fldChar w:fldCharType="begin"/>
      </w:r>
      <w:r>
        <w:rPr>
          <w:noProof/>
        </w:rPr>
        <w:instrText xml:space="preserve"> PAGEREF _Toc196398457 \h </w:instrText>
      </w:r>
      <w:r>
        <w:rPr>
          <w:noProof/>
        </w:rPr>
      </w:r>
      <w:r>
        <w:rPr>
          <w:noProof/>
        </w:rPr>
        <w:fldChar w:fldCharType="separate"/>
      </w:r>
      <w:r w:rsidR="00B65B2A">
        <w:rPr>
          <w:noProof/>
        </w:rPr>
        <w:t>13</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1.7.2. Сведения об обязательствах эмитента из предоставленного обеспечения</w:t>
      </w:r>
      <w:r>
        <w:rPr>
          <w:noProof/>
        </w:rPr>
        <w:tab/>
      </w:r>
      <w:r>
        <w:rPr>
          <w:noProof/>
        </w:rPr>
        <w:fldChar w:fldCharType="begin"/>
      </w:r>
      <w:r>
        <w:rPr>
          <w:noProof/>
        </w:rPr>
        <w:instrText xml:space="preserve"> PAGEREF _Toc196398458 \h </w:instrText>
      </w:r>
      <w:r>
        <w:rPr>
          <w:noProof/>
        </w:rPr>
      </w:r>
      <w:r>
        <w:rPr>
          <w:noProof/>
        </w:rPr>
        <w:fldChar w:fldCharType="separate"/>
      </w:r>
      <w:r w:rsidR="00B65B2A">
        <w:rPr>
          <w:noProof/>
        </w:rPr>
        <w:t>14</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1.7.3. Сведения о прочих существенных обязательствах эмитента</w:t>
      </w:r>
      <w:r>
        <w:rPr>
          <w:noProof/>
        </w:rPr>
        <w:tab/>
      </w:r>
      <w:r>
        <w:rPr>
          <w:noProof/>
        </w:rPr>
        <w:fldChar w:fldCharType="begin"/>
      </w:r>
      <w:r>
        <w:rPr>
          <w:noProof/>
        </w:rPr>
        <w:instrText xml:space="preserve"> PAGEREF _Toc196398459 \h </w:instrText>
      </w:r>
      <w:r>
        <w:rPr>
          <w:noProof/>
        </w:rPr>
      </w:r>
      <w:r>
        <w:rPr>
          <w:noProof/>
        </w:rPr>
        <w:fldChar w:fldCharType="separate"/>
      </w:r>
      <w:r w:rsidR="00B65B2A">
        <w:rPr>
          <w:noProof/>
        </w:rPr>
        <w:t>15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1.8. Сведения о перспективах развития эмитента</w:t>
      </w:r>
      <w:r>
        <w:rPr>
          <w:noProof/>
        </w:rPr>
        <w:tab/>
      </w:r>
      <w:r>
        <w:rPr>
          <w:noProof/>
        </w:rPr>
        <w:fldChar w:fldCharType="begin"/>
      </w:r>
      <w:r>
        <w:rPr>
          <w:noProof/>
        </w:rPr>
        <w:instrText xml:space="preserve"> PAGEREF _Toc196398460 \h </w:instrText>
      </w:r>
      <w:r>
        <w:rPr>
          <w:noProof/>
        </w:rPr>
      </w:r>
      <w:r>
        <w:rPr>
          <w:noProof/>
        </w:rPr>
        <w:fldChar w:fldCharType="separate"/>
      </w:r>
      <w:r w:rsidR="00B65B2A">
        <w:rPr>
          <w:noProof/>
        </w:rPr>
        <w:t>15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 Сведения о рисках, связанных с деятельностью эмитента</w:t>
      </w:r>
      <w:r>
        <w:rPr>
          <w:noProof/>
        </w:rPr>
        <w:tab/>
      </w:r>
      <w:r>
        <w:rPr>
          <w:noProof/>
        </w:rPr>
        <w:fldChar w:fldCharType="begin"/>
      </w:r>
      <w:r>
        <w:rPr>
          <w:noProof/>
        </w:rPr>
        <w:instrText xml:space="preserve"> PAGEREF _Toc196398461 \h </w:instrText>
      </w:r>
      <w:r>
        <w:rPr>
          <w:noProof/>
        </w:rPr>
      </w:r>
      <w:r>
        <w:rPr>
          <w:noProof/>
        </w:rPr>
        <w:fldChar w:fldCharType="separate"/>
      </w:r>
      <w:r w:rsidR="00B65B2A">
        <w:rPr>
          <w:noProof/>
        </w:rPr>
        <w:t>16</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1.9.2. Страновые и региональные риски</w:t>
      </w:r>
      <w:r>
        <w:rPr>
          <w:noProof/>
        </w:rPr>
        <w:tab/>
      </w:r>
      <w:r>
        <w:rPr>
          <w:noProof/>
        </w:rPr>
        <w:fldChar w:fldCharType="begin"/>
      </w:r>
      <w:r>
        <w:rPr>
          <w:noProof/>
        </w:rPr>
        <w:instrText xml:space="preserve"> PAGEREF _Toc196398462 \h </w:instrText>
      </w:r>
      <w:r>
        <w:rPr>
          <w:noProof/>
        </w:rPr>
      </w:r>
      <w:r>
        <w:rPr>
          <w:noProof/>
        </w:rPr>
        <w:fldChar w:fldCharType="separate"/>
      </w:r>
      <w:r w:rsidR="00B65B2A">
        <w:rPr>
          <w:noProof/>
        </w:rPr>
        <w:t>19</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1.9.3. Финансовые риски</w:t>
      </w:r>
      <w:r>
        <w:rPr>
          <w:noProof/>
        </w:rPr>
        <w:tab/>
      </w:r>
      <w:r>
        <w:rPr>
          <w:noProof/>
        </w:rPr>
        <w:fldChar w:fldCharType="begin"/>
      </w:r>
      <w:r>
        <w:rPr>
          <w:noProof/>
        </w:rPr>
        <w:instrText xml:space="preserve"> PAGEREF _Toc196398463 \h </w:instrText>
      </w:r>
      <w:r>
        <w:rPr>
          <w:noProof/>
        </w:rPr>
      </w:r>
      <w:r>
        <w:rPr>
          <w:noProof/>
        </w:rPr>
        <w:fldChar w:fldCharType="separate"/>
      </w:r>
      <w:r w:rsidR="00B65B2A">
        <w:rPr>
          <w:noProof/>
        </w:rPr>
        <w:t>20</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1.9.4. Правовые риски</w:t>
      </w:r>
      <w:r>
        <w:rPr>
          <w:noProof/>
        </w:rPr>
        <w:tab/>
      </w:r>
      <w:r>
        <w:rPr>
          <w:noProof/>
        </w:rPr>
        <w:fldChar w:fldCharType="begin"/>
      </w:r>
      <w:r>
        <w:rPr>
          <w:noProof/>
        </w:rPr>
        <w:instrText xml:space="preserve"> PAGEREF _Toc196398464 \h </w:instrText>
      </w:r>
      <w:r>
        <w:rPr>
          <w:noProof/>
        </w:rPr>
      </w:r>
      <w:r>
        <w:rPr>
          <w:noProof/>
        </w:rPr>
        <w:fldChar w:fldCharType="separate"/>
      </w:r>
      <w:r w:rsidR="00B65B2A">
        <w:rPr>
          <w:noProof/>
        </w:rPr>
        <w:t>21</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1.9.5. Риск потери деловой репутации (репутационный риск)</w:t>
      </w:r>
      <w:r>
        <w:rPr>
          <w:noProof/>
        </w:rPr>
        <w:tab/>
      </w:r>
      <w:r>
        <w:rPr>
          <w:noProof/>
        </w:rPr>
        <w:fldChar w:fldCharType="begin"/>
      </w:r>
      <w:r>
        <w:rPr>
          <w:noProof/>
        </w:rPr>
        <w:instrText xml:space="preserve"> PAGEREF _Toc196398465 \h </w:instrText>
      </w:r>
      <w:r>
        <w:rPr>
          <w:noProof/>
        </w:rPr>
      </w:r>
      <w:r>
        <w:rPr>
          <w:noProof/>
        </w:rPr>
        <w:fldChar w:fldCharType="separate"/>
      </w:r>
      <w:r w:rsidR="00B65B2A">
        <w:rPr>
          <w:noProof/>
        </w:rPr>
        <w:t>24</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1.9.6. Стратегический риск</w:t>
      </w:r>
      <w:r>
        <w:rPr>
          <w:noProof/>
        </w:rPr>
        <w:tab/>
      </w:r>
      <w:r>
        <w:rPr>
          <w:noProof/>
        </w:rPr>
        <w:fldChar w:fldCharType="begin"/>
      </w:r>
      <w:r>
        <w:rPr>
          <w:noProof/>
        </w:rPr>
        <w:instrText xml:space="preserve"> PAGEREF _Toc196398466 \h </w:instrText>
      </w:r>
      <w:r>
        <w:rPr>
          <w:noProof/>
        </w:rPr>
      </w:r>
      <w:r>
        <w:rPr>
          <w:noProof/>
        </w:rPr>
        <w:fldChar w:fldCharType="separate"/>
      </w:r>
      <w:r w:rsidR="00B65B2A">
        <w:rPr>
          <w:noProof/>
        </w:rPr>
        <w:t>24</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1.9.7. Риски, связанные с деятельностью эмитента</w:t>
      </w:r>
      <w:r>
        <w:rPr>
          <w:noProof/>
        </w:rPr>
        <w:tab/>
      </w:r>
      <w:r>
        <w:rPr>
          <w:noProof/>
        </w:rPr>
        <w:fldChar w:fldCharType="begin"/>
      </w:r>
      <w:r>
        <w:rPr>
          <w:noProof/>
        </w:rPr>
        <w:instrText xml:space="preserve"> PAGEREF _Toc196398467 \h </w:instrText>
      </w:r>
      <w:r>
        <w:rPr>
          <w:noProof/>
        </w:rPr>
      </w:r>
      <w:r>
        <w:rPr>
          <w:noProof/>
        </w:rPr>
        <w:fldChar w:fldCharType="separate"/>
      </w:r>
      <w:r w:rsidR="00B65B2A">
        <w:rPr>
          <w:noProof/>
        </w:rPr>
        <w:t>25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1.9.8. Риск информационной безопасности</w:t>
      </w:r>
      <w:r>
        <w:rPr>
          <w:noProof/>
        </w:rPr>
        <w:tab/>
      </w:r>
      <w:r>
        <w:rPr>
          <w:noProof/>
        </w:rPr>
        <w:fldChar w:fldCharType="begin"/>
      </w:r>
      <w:r>
        <w:rPr>
          <w:noProof/>
        </w:rPr>
        <w:instrText xml:space="preserve"> PAGEREF _Toc196398468 \h </w:instrText>
      </w:r>
      <w:r>
        <w:rPr>
          <w:noProof/>
        </w:rPr>
      </w:r>
      <w:r>
        <w:rPr>
          <w:noProof/>
        </w:rPr>
        <w:fldChar w:fldCharType="separate"/>
      </w:r>
      <w:r w:rsidR="00B65B2A">
        <w:rPr>
          <w:noProof/>
        </w:rPr>
        <w:t>25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1.9.9. Экологический риск</w:t>
      </w:r>
      <w:r>
        <w:rPr>
          <w:noProof/>
        </w:rPr>
        <w:tab/>
      </w:r>
      <w:r>
        <w:rPr>
          <w:noProof/>
        </w:rPr>
        <w:fldChar w:fldCharType="begin"/>
      </w:r>
      <w:r>
        <w:rPr>
          <w:noProof/>
        </w:rPr>
        <w:instrText xml:space="preserve"> PAGEREF _Toc196398469 \h </w:instrText>
      </w:r>
      <w:r>
        <w:rPr>
          <w:noProof/>
        </w:rPr>
      </w:r>
      <w:r>
        <w:rPr>
          <w:noProof/>
        </w:rPr>
        <w:fldChar w:fldCharType="separate"/>
      </w:r>
      <w:r w:rsidR="00B65B2A">
        <w:rPr>
          <w:noProof/>
        </w:rPr>
        <w:t>26</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1.9.10. Природно-климатический риск</w:t>
      </w:r>
      <w:r>
        <w:rPr>
          <w:noProof/>
        </w:rPr>
        <w:tab/>
      </w:r>
      <w:r>
        <w:rPr>
          <w:noProof/>
        </w:rPr>
        <w:fldChar w:fldCharType="begin"/>
      </w:r>
      <w:r>
        <w:rPr>
          <w:noProof/>
        </w:rPr>
        <w:instrText xml:space="preserve"> PAGEREF _Toc196398470 \h </w:instrText>
      </w:r>
      <w:r>
        <w:rPr>
          <w:noProof/>
        </w:rPr>
      </w:r>
      <w:r>
        <w:rPr>
          <w:noProof/>
        </w:rPr>
        <w:fldChar w:fldCharType="separate"/>
      </w:r>
      <w:r w:rsidR="00B65B2A">
        <w:rPr>
          <w:noProof/>
        </w:rPr>
        <w:t>26</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1.9.11. Риски кредитных организаций</w:t>
      </w:r>
      <w:r>
        <w:rPr>
          <w:noProof/>
        </w:rPr>
        <w:tab/>
      </w:r>
      <w:r>
        <w:rPr>
          <w:noProof/>
        </w:rPr>
        <w:fldChar w:fldCharType="begin"/>
      </w:r>
      <w:r>
        <w:rPr>
          <w:noProof/>
        </w:rPr>
        <w:instrText xml:space="preserve"> PAGEREF _Toc196398471 \h </w:instrText>
      </w:r>
      <w:r>
        <w:rPr>
          <w:noProof/>
        </w:rPr>
      </w:r>
      <w:r>
        <w:rPr>
          <w:noProof/>
        </w:rPr>
        <w:fldChar w:fldCharType="separate"/>
      </w:r>
      <w:r w:rsidR="00B65B2A">
        <w:rPr>
          <w:noProof/>
        </w:rPr>
        <w:t>26</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1.9.12. Иные риски, которые являются существенными для эмитента (группы эмитента)</w:t>
      </w:r>
      <w:r>
        <w:rPr>
          <w:noProof/>
        </w:rPr>
        <w:tab/>
      </w:r>
      <w:r>
        <w:rPr>
          <w:noProof/>
        </w:rPr>
        <w:fldChar w:fldCharType="begin"/>
      </w:r>
      <w:r>
        <w:rPr>
          <w:noProof/>
        </w:rPr>
        <w:instrText xml:space="preserve"> PAGEREF _Toc196398472 \h </w:instrText>
      </w:r>
      <w:r>
        <w:rPr>
          <w:noProof/>
        </w:rPr>
      </w:r>
      <w:r>
        <w:rPr>
          <w:noProof/>
        </w:rPr>
        <w:fldChar w:fldCharType="separate"/>
      </w:r>
      <w:r w:rsidR="00B65B2A">
        <w:rPr>
          <w:noProof/>
        </w:rPr>
        <w:t>26</w:t>
      </w:r>
      <w:r>
        <w:rPr>
          <w:noProof/>
        </w:rPr>
        <w:fldChar w:fldCharType="end"/>
      </w:r>
    </w:p>
    <w:p w:rsidR="00C56E93" w:rsidRDefault="00C56E93">
      <w:pPr>
        <w:pStyle w:val="11"/>
        <w:tabs>
          <w:tab w:val="right" w:leader="dot" w:pos="8919"/>
        </w:tabs>
        <w:rPr>
          <w:rFonts w:asciiTheme="minorHAnsi" w:hAnsiTheme="minorHAnsi" w:cstheme="minorBidi"/>
          <w:noProof/>
          <w:sz w:val="22"/>
          <w:szCs w:val="22"/>
        </w:rPr>
      </w:pPr>
      <w:r>
        <w:rPr>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rPr>
        <w:tab/>
      </w:r>
      <w:r>
        <w:rPr>
          <w:noProof/>
        </w:rPr>
        <w:fldChar w:fldCharType="begin"/>
      </w:r>
      <w:r>
        <w:rPr>
          <w:noProof/>
        </w:rPr>
        <w:instrText xml:space="preserve"> PAGEREF _Toc196398473 \h </w:instrText>
      </w:r>
      <w:r>
        <w:rPr>
          <w:noProof/>
        </w:rPr>
      </w:r>
      <w:r>
        <w:rPr>
          <w:noProof/>
        </w:rPr>
        <w:fldChar w:fldCharType="separate"/>
      </w:r>
      <w:r w:rsidR="00B65B2A">
        <w:rPr>
          <w:noProof/>
        </w:rPr>
        <w:t>27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2.1. Информация о лицах, входящих в состав органов управления эмитента</w:t>
      </w:r>
      <w:r>
        <w:rPr>
          <w:noProof/>
        </w:rPr>
        <w:tab/>
      </w:r>
      <w:r>
        <w:rPr>
          <w:noProof/>
        </w:rPr>
        <w:fldChar w:fldCharType="begin"/>
      </w:r>
      <w:r>
        <w:rPr>
          <w:noProof/>
        </w:rPr>
        <w:instrText xml:space="preserve"> PAGEREF _Toc196398474 \h </w:instrText>
      </w:r>
      <w:r>
        <w:rPr>
          <w:noProof/>
        </w:rPr>
      </w:r>
      <w:r>
        <w:rPr>
          <w:noProof/>
        </w:rPr>
        <w:fldChar w:fldCharType="separate"/>
      </w:r>
      <w:r w:rsidR="00B65B2A">
        <w:rPr>
          <w:noProof/>
        </w:rPr>
        <w:t>27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2.1.1. Состав совета директоров (наблюдательного совета) эмитента</w:t>
      </w:r>
      <w:r>
        <w:rPr>
          <w:noProof/>
        </w:rPr>
        <w:tab/>
      </w:r>
      <w:r>
        <w:rPr>
          <w:noProof/>
        </w:rPr>
        <w:fldChar w:fldCharType="begin"/>
      </w:r>
      <w:r>
        <w:rPr>
          <w:noProof/>
        </w:rPr>
        <w:instrText xml:space="preserve"> PAGEREF _Toc196398475 \h </w:instrText>
      </w:r>
      <w:r>
        <w:rPr>
          <w:noProof/>
        </w:rPr>
      </w:r>
      <w:r>
        <w:rPr>
          <w:noProof/>
        </w:rPr>
        <w:fldChar w:fldCharType="separate"/>
      </w:r>
      <w:r w:rsidR="00B65B2A">
        <w:rPr>
          <w:noProof/>
        </w:rPr>
        <w:t>27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2.1.2. Информация о единоличном исполнительном органе эмитента</w:t>
      </w:r>
      <w:r>
        <w:rPr>
          <w:noProof/>
        </w:rPr>
        <w:tab/>
      </w:r>
      <w:r>
        <w:rPr>
          <w:noProof/>
        </w:rPr>
        <w:fldChar w:fldCharType="begin"/>
      </w:r>
      <w:r>
        <w:rPr>
          <w:noProof/>
        </w:rPr>
        <w:instrText xml:space="preserve"> PAGEREF _Toc196398476 \h </w:instrText>
      </w:r>
      <w:r>
        <w:rPr>
          <w:noProof/>
        </w:rPr>
      </w:r>
      <w:r>
        <w:rPr>
          <w:noProof/>
        </w:rPr>
        <w:fldChar w:fldCharType="separate"/>
      </w:r>
      <w:r w:rsidR="00B65B2A">
        <w:rPr>
          <w:noProof/>
        </w:rPr>
        <w:t>34</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2.1.3. Состав коллегиального исполнительного органа эмитента</w:t>
      </w:r>
      <w:r>
        <w:rPr>
          <w:noProof/>
        </w:rPr>
        <w:tab/>
      </w:r>
      <w:r>
        <w:rPr>
          <w:noProof/>
        </w:rPr>
        <w:fldChar w:fldCharType="begin"/>
      </w:r>
      <w:r>
        <w:rPr>
          <w:noProof/>
        </w:rPr>
        <w:instrText xml:space="preserve"> PAGEREF _Toc196398477 \h </w:instrText>
      </w:r>
      <w:r>
        <w:rPr>
          <w:noProof/>
        </w:rPr>
      </w:r>
      <w:r>
        <w:rPr>
          <w:noProof/>
        </w:rPr>
        <w:fldChar w:fldCharType="separate"/>
      </w:r>
      <w:r w:rsidR="00B65B2A">
        <w:rPr>
          <w:noProof/>
        </w:rPr>
        <w:t>35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Pr>
          <w:noProof/>
        </w:rPr>
        <w:tab/>
      </w:r>
      <w:r>
        <w:rPr>
          <w:noProof/>
        </w:rPr>
        <w:fldChar w:fldCharType="begin"/>
      </w:r>
      <w:r>
        <w:rPr>
          <w:noProof/>
        </w:rPr>
        <w:instrText xml:space="preserve"> PAGEREF _Toc196398478 \h </w:instrText>
      </w:r>
      <w:r>
        <w:rPr>
          <w:noProof/>
        </w:rPr>
      </w:r>
      <w:r>
        <w:rPr>
          <w:noProof/>
        </w:rPr>
        <w:fldChar w:fldCharType="separate"/>
      </w:r>
      <w:r w:rsidR="00B65B2A">
        <w:rPr>
          <w:noProof/>
        </w:rPr>
        <w:t>35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rPr>
        <w:tab/>
      </w:r>
      <w:r>
        <w:rPr>
          <w:noProof/>
        </w:rPr>
        <w:fldChar w:fldCharType="begin"/>
      </w:r>
      <w:r>
        <w:rPr>
          <w:noProof/>
        </w:rPr>
        <w:instrText xml:space="preserve"> PAGEREF _Toc196398479 \h </w:instrText>
      </w:r>
      <w:r>
        <w:rPr>
          <w:noProof/>
        </w:rPr>
      </w:r>
      <w:r>
        <w:rPr>
          <w:noProof/>
        </w:rPr>
        <w:fldChar w:fldCharType="separate"/>
      </w:r>
      <w:r w:rsidR="00B65B2A">
        <w:rPr>
          <w:noProof/>
        </w:rPr>
        <w:t>37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rPr>
        <w:tab/>
      </w:r>
      <w:r>
        <w:rPr>
          <w:noProof/>
        </w:rPr>
        <w:fldChar w:fldCharType="begin"/>
      </w:r>
      <w:r>
        <w:rPr>
          <w:noProof/>
        </w:rPr>
        <w:instrText xml:space="preserve"> PAGEREF _Toc196398480 \h </w:instrText>
      </w:r>
      <w:r>
        <w:rPr>
          <w:noProof/>
        </w:rPr>
      </w:r>
      <w:r>
        <w:rPr>
          <w:noProof/>
        </w:rPr>
        <w:fldChar w:fldCharType="separate"/>
      </w:r>
      <w:r w:rsidR="00B65B2A">
        <w:rPr>
          <w:noProof/>
        </w:rPr>
        <w:t>51</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rPr>
        <w:tab/>
      </w:r>
      <w:r>
        <w:rPr>
          <w:noProof/>
        </w:rPr>
        <w:fldChar w:fldCharType="begin"/>
      </w:r>
      <w:r>
        <w:rPr>
          <w:noProof/>
        </w:rPr>
        <w:instrText xml:space="preserve"> PAGEREF _Toc196398481 \h </w:instrText>
      </w:r>
      <w:r>
        <w:rPr>
          <w:noProof/>
        </w:rPr>
      </w:r>
      <w:r>
        <w:rPr>
          <w:noProof/>
        </w:rPr>
        <w:fldChar w:fldCharType="separate"/>
      </w:r>
      <w:r w:rsidR="00B65B2A">
        <w:rPr>
          <w:noProof/>
        </w:rPr>
        <w:t>53</w:t>
      </w:r>
      <w:r>
        <w:rPr>
          <w:noProof/>
        </w:rPr>
        <w:fldChar w:fldCharType="end"/>
      </w:r>
    </w:p>
    <w:p w:rsidR="00C56E93" w:rsidRDefault="00C56E93">
      <w:pPr>
        <w:pStyle w:val="11"/>
        <w:tabs>
          <w:tab w:val="right" w:leader="dot" w:pos="8919"/>
        </w:tabs>
        <w:rPr>
          <w:rFonts w:asciiTheme="minorHAnsi" w:hAnsiTheme="minorHAnsi" w:cstheme="minorBidi"/>
          <w:noProof/>
          <w:sz w:val="22"/>
          <w:szCs w:val="22"/>
        </w:rPr>
      </w:pPr>
      <w:r>
        <w:rPr>
          <w:noProof/>
        </w:rPr>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Pr>
          <w:noProof/>
        </w:rPr>
        <w:tab/>
      </w:r>
      <w:r>
        <w:rPr>
          <w:noProof/>
        </w:rPr>
        <w:fldChar w:fldCharType="begin"/>
      </w:r>
      <w:r>
        <w:rPr>
          <w:noProof/>
        </w:rPr>
        <w:instrText xml:space="preserve"> PAGEREF _Toc196398482 \h </w:instrText>
      </w:r>
      <w:r>
        <w:rPr>
          <w:noProof/>
        </w:rPr>
      </w:r>
      <w:r>
        <w:rPr>
          <w:noProof/>
        </w:rPr>
        <w:fldChar w:fldCharType="separate"/>
      </w:r>
      <w:r w:rsidR="00B65B2A">
        <w:rPr>
          <w:noProof/>
        </w:rPr>
        <w:t>53</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3.1. Сведения об общем количестве акционеров (участников, членов) эмитента</w:t>
      </w:r>
      <w:r>
        <w:rPr>
          <w:noProof/>
        </w:rPr>
        <w:tab/>
      </w:r>
      <w:r>
        <w:rPr>
          <w:noProof/>
        </w:rPr>
        <w:fldChar w:fldCharType="begin"/>
      </w:r>
      <w:r>
        <w:rPr>
          <w:noProof/>
        </w:rPr>
        <w:instrText xml:space="preserve"> PAGEREF _Toc196398483 \h </w:instrText>
      </w:r>
      <w:r>
        <w:rPr>
          <w:noProof/>
        </w:rPr>
      </w:r>
      <w:r>
        <w:rPr>
          <w:noProof/>
        </w:rPr>
        <w:fldChar w:fldCharType="separate"/>
      </w:r>
      <w:r w:rsidR="00B65B2A">
        <w:rPr>
          <w:noProof/>
        </w:rPr>
        <w:t>53</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rPr>
        <w:tab/>
      </w:r>
      <w:r>
        <w:rPr>
          <w:noProof/>
        </w:rPr>
        <w:fldChar w:fldCharType="begin"/>
      </w:r>
      <w:r>
        <w:rPr>
          <w:noProof/>
        </w:rPr>
        <w:instrText xml:space="preserve"> PAGEREF _Toc196398484 \h </w:instrText>
      </w:r>
      <w:r>
        <w:rPr>
          <w:noProof/>
        </w:rPr>
      </w:r>
      <w:r>
        <w:rPr>
          <w:noProof/>
        </w:rPr>
        <w:fldChar w:fldCharType="separate"/>
      </w:r>
      <w:r w:rsidR="00B65B2A">
        <w:rPr>
          <w:noProof/>
        </w:rPr>
        <w:t>54</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_Toc196398485 \h </w:instrText>
      </w:r>
      <w:r>
        <w:rPr>
          <w:noProof/>
        </w:rPr>
      </w:r>
      <w:r>
        <w:rPr>
          <w:noProof/>
        </w:rPr>
        <w:fldChar w:fldCharType="separate"/>
      </w:r>
      <w:r w:rsidR="00B65B2A">
        <w:rPr>
          <w:noProof/>
        </w:rPr>
        <w:t>55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3.4. Сделки эмитента, в совершении которых имелась заинтересованность</w:t>
      </w:r>
      <w:r>
        <w:rPr>
          <w:noProof/>
        </w:rPr>
        <w:tab/>
      </w:r>
      <w:r>
        <w:rPr>
          <w:noProof/>
        </w:rPr>
        <w:fldChar w:fldCharType="begin"/>
      </w:r>
      <w:r>
        <w:rPr>
          <w:noProof/>
        </w:rPr>
        <w:instrText xml:space="preserve"> PAGEREF _Toc196398486 \h </w:instrText>
      </w:r>
      <w:r>
        <w:rPr>
          <w:noProof/>
        </w:rPr>
      </w:r>
      <w:r>
        <w:rPr>
          <w:noProof/>
        </w:rPr>
        <w:fldChar w:fldCharType="separate"/>
      </w:r>
      <w:r w:rsidR="00B65B2A">
        <w:rPr>
          <w:noProof/>
        </w:rPr>
        <w:t>56</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3.5. Крупные сделки эмитента</w:t>
      </w:r>
      <w:r>
        <w:rPr>
          <w:noProof/>
        </w:rPr>
        <w:tab/>
      </w:r>
      <w:r>
        <w:rPr>
          <w:noProof/>
        </w:rPr>
        <w:fldChar w:fldCharType="begin"/>
      </w:r>
      <w:r>
        <w:rPr>
          <w:noProof/>
        </w:rPr>
        <w:instrText xml:space="preserve"> PAGEREF _Toc196398487 \h </w:instrText>
      </w:r>
      <w:r>
        <w:rPr>
          <w:noProof/>
        </w:rPr>
      </w:r>
      <w:r>
        <w:rPr>
          <w:noProof/>
        </w:rPr>
        <w:fldChar w:fldCharType="separate"/>
      </w:r>
      <w:r w:rsidR="00B65B2A">
        <w:rPr>
          <w:noProof/>
        </w:rPr>
        <w:t>56</w:t>
      </w:r>
      <w:r>
        <w:rPr>
          <w:noProof/>
        </w:rPr>
        <w:fldChar w:fldCharType="end"/>
      </w:r>
    </w:p>
    <w:p w:rsidR="00C56E93" w:rsidRDefault="00C56E93">
      <w:pPr>
        <w:pStyle w:val="11"/>
        <w:tabs>
          <w:tab w:val="right" w:leader="dot" w:pos="8919"/>
        </w:tabs>
        <w:rPr>
          <w:rFonts w:asciiTheme="minorHAnsi" w:hAnsiTheme="minorHAnsi" w:cstheme="minorBidi"/>
          <w:noProof/>
          <w:sz w:val="22"/>
          <w:szCs w:val="22"/>
        </w:rPr>
      </w:pPr>
      <w:r>
        <w:rPr>
          <w:noProof/>
        </w:rPr>
        <w:t>Раздел 4. Дополнительные сведения об эмитенте и о размещенных им ценных бумагах</w:t>
      </w:r>
      <w:r>
        <w:rPr>
          <w:noProof/>
        </w:rPr>
        <w:tab/>
      </w:r>
      <w:r>
        <w:rPr>
          <w:noProof/>
        </w:rPr>
        <w:fldChar w:fldCharType="begin"/>
      </w:r>
      <w:r>
        <w:rPr>
          <w:noProof/>
        </w:rPr>
        <w:instrText xml:space="preserve"> PAGEREF _Toc196398488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4.1.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_Toc196398489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_Toc196398490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_Toc196398491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_Toc196398492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_Toc196398493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4.2(1). Дополнительные сведения, раскрываемые эмитентами инфраструктурных облигаций</w:t>
      </w:r>
      <w:r>
        <w:rPr>
          <w:noProof/>
        </w:rPr>
        <w:tab/>
      </w:r>
      <w:r>
        <w:rPr>
          <w:noProof/>
        </w:rPr>
        <w:fldChar w:fldCharType="begin"/>
      </w:r>
      <w:r>
        <w:rPr>
          <w:noProof/>
        </w:rPr>
        <w:instrText xml:space="preserve"> PAGEREF _Toc196398494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4.2(2). Дополнительные сведения, раскрываемые эмитентами облигаций, связанных с целями устойчивого развития</w:t>
      </w:r>
      <w:r>
        <w:rPr>
          <w:noProof/>
        </w:rPr>
        <w:tab/>
      </w:r>
      <w:r>
        <w:rPr>
          <w:noProof/>
        </w:rPr>
        <w:fldChar w:fldCharType="begin"/>
      </w:r>
      <w:r>
        <w:rPr>
          <w:noProof/>
        </w:rPr>
        <w:instrText xml:space="preserve"> PAGEREF _Toc196398495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4.2(3). Дополнительные сведения, раскрываемые эмитентами облигаций климатического перехода</w:t>
      </w:r>
      <w:r>
        <w:rPr>
          <w:noProof/>
        </w:rPr>
        <w:tab/>
      </w:r>
      <w:r>
        <w:rPr>
          <w:noProof/>
        </w:rPr>
        <w:fldChar w:fldCharType="begin"/>
      </w:r>
      <w:r>
        <w:rPr>
          <w:noProof/>
        </w:rPr>
        <w:instrText xml:space="preserve"> PAGEREF _Toc196398496 \h </w:instrText>
      </w:r>
      <w:r>
        <w:rPr>
          <w:noProof/>
        </w:rPr>
      </w:r>
      <w:r>
        <w:rPr>
          <w:noProof/>
        </w:rPr>
        <w:fldChar w:fldCharType="separate"/>
      </w:r>
      <w:r w:rsidR="00B65B2A">
        <w:rPr>
          <w:noProof/>
        </w:rPr>
        <w:t>57</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_Toc196398497 \h </w:instrText>
      </w:r>
      <w:r>
        <w:rPr>
          <w:noProof/>
        </w:rPr>
      </w:r>
      <w:r>
        <w:rPr>
          <w:noProof/>
        </w:rPr>
        <w:fldChar w:fldCharType="separate"/>
      </w:r>
      <w:r w:rsidR="00B65B2A">
        <w:rPr>
          <w:noProof/>
        </w:rPr>
        <w:t>58</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4.3.1.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_Toc196398498 \h </w:instrText>
      </w:r>
      <w:r>
        <w:rPr>
          <w:noProof/>
        </w:rPr>
      </w:r>
      <w:r>
        <w:rPr>
          <w:noProof/>
        </w:rPr>
        <w:fldChar w:fldCharType="separate"/>
      </w:r>
      <w:r w:rsidR="00B65B2A">
        <w:rPr>
          <w:noProof/>
        </w:rPr>
        <w:t>58</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_Toc196398499 \h </w:instrText>
      </w:r>
      <w:r>
        <w:rPr>
          <w:noProof/>
        </w:rPr>
      </w:r>
      <w:r>
        <w:rPr>
          <w:noProof/>
        </w:rPr>
        <w:fldChar w:fldCharType="separate"/>
      </w:r>
      <w:r w:rsidR="00B65B2A">
        <w:rPr>
          <w:noProof/>
        </w:rPr>
        <w:t>58</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4.4. Сведения об объявленных и выплаченных дивидендах по акциям эмитента</w:t>
      </w:r>
      <w:r>
        <w:rPr>
          <w:noProof/>
        </w:rPr>
        <w:tab/>
      </w:r>
      <w:r>
        <w:rPr>
          <w:noProof/>
        </w:rPr>
        <w:fldChar w:fldCharType="begin"/>
      </w:r>
      <w:r>
        <w:rPr>
          <w:noProof/>
        </w:rPr>
        <w:instrText xml:space="preserve"> PAGEREF _Toc196398500 \h </w:instrText>
      </w:r>
      <w:r>
        <w:rPr>
          <w:noProof/>
        </w:rPr>
      </w:r>
      <w:r>
        <w:rPr>
          <w:noProof/>
        </w:rPr>
        <w:fldChar w:fldCharType="separate"/>
      </w:r>
      <w:r w:rsidR="00B65B2A">
        <w:rPr>
          <w:noProof/>
        </w:rPr>
        <w:t>58</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_Toc196398501 \h </w:instrText>
      </w:r>
      <w:r>
        <w:rPr>
          <w:noProof/>
        </w:rPr>
      </w:r>
      <w:r>
        <w:rPr>
          <w:noProof/>
        </w:rPr>
        <w:fldChar w:fldCharType="separate"/>
      </w:r>
      <w:r w:rsidR="00B65B2A">
        <w:rPr>
          <w:noProof/>
        </w:rPr>
        <w:t>65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4.5.1. Сведения о регистраторе, осуществляющем ведение реестра владельцев ценных бумаг эмитента</w:t>
      </w:r>
      <w:r>
        <w:rPr>
          <w:noProof/>
        </w:rPr>
        <w:tab/>
      </w:r>
      <w:r>
        <w:rPr>
          <w:noProof/>
        </w:rPr>
        <w:fldChar w:fldCharType="begin"/>
      </w:r>
      <w:r>
        <w:rPr>
          <w:noProof/>
        </w:rPr>
        <w:instrText xml:space="preserve"> PAGEREF _Toc196398502 \h </w:instrText>
      </w:r>
      <w:r>
        <w:rPr>
          <w:noProof/>
        </w:rPr>
      </w:r>
      <w:r>
        <w:rPr>
          <w:noProof/>
        </w:rPr>
        <w:fldChar w:fldCharType="separate"/>
      </w:r>
      <w:r w:rsidR="00B65B2A">
        <w:rPr>
          <w:noProof/>
        </w:rPr>
        <w:t>65</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4.5.2. Сведения о депозитарии, осуществляющем централизованный учет прав на ценные бумаги эмитента</w:t>
      </w:r>
      <w:r>
        <w:rPr>
          <w:noProof/>
        </w:rPr>
        <w:tab/>
      </w:r>
      <w:r>
        <w:rPr>
          <w:noProof/>
        </w:rPr>
        <w:fldChar w:fldCharType="begin"/>
      </w:r>
      <w:r>
        <w:rPr>
          <w:noProof/>
        </w:rPr>
        <w:instrText xml:space="preserve"> PAGEREF _Toc196398503 \h </w:instrText>
      </w:r>
      <w:r>
        <w:rPr>
          <w:noProof/>
        </w:rPr>
      </w:r>
      <w:r>
        <w:rPr>
          <w:noProof/>
        </w:rPr>
        <w:fldChar w:fldCharType="separate"/>
      </w:r>
      <w:r w:rsidR="00B65B2A">
        <w:rPr>
          <w:noProof/>
        </w:rPr>
        <w:t>66</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4.6. Информация об аудиторе эмитента</w:t>
      </w:r>
      <w:r>
        <w:rPr>
          <w:noProof/>
        </w:rPr>
        <w:tab/>
      </w:r>
      <w:r>
        <w:rPr>
          <w:noProof/>
        </w:rPr>
        <w:fldChar w:fldCharType="begin"/>
      </w:r>
      <w:r>
        <w:rPr>
          <w:noProof/>
        </w:rPr>
        <w:instrText xml:space="preserve"> PAGEREF _Toc196398504 \h </w:instrText>
      </w:r>
      <w:r>
        <w:rPr>
          <w:noProof/>
        </w:rPr>
      </w:r>
      <w:r>
        <w:rPr>
          <w:noProof/>
        </w:rPr>
        <w:fldChar w:fldCharType="separate"/>
      </w:r>
      <w:r w:rsidR="00B65B2A">
        <w:rPr>
          <w:noProof/>
        </w:rPr>
        <w:t>66</w:t>
      </w:r>
      <w:r>
        <w:rPr>
          <w:noProof/>
        </w:rPr>
        <w:fldChar w:fldCharType="end"/>
      </w:r>
    </w:p>
    <w:p w:rsidR="00C56E93" w:rsidRDefault="00C56E93">
      <w:pPr>
        <w:pStyle w:val="11"/>
        <w:tabs>
          <w:tab w:val="right" w:leader="dot" w:pos="8919"/>
        </w:tabs>
        <w:rPr>
          <w:rFonts w:asciiTheme="minorHAnsi" w:hAnsiTheme="minorHAnsi" w:cstheme="minorBidi"/>
          <w:noProof/>
          <w:sz w:val="22"/>
          <w:szCs w:val="22"/>
        </w:rPr>
      </w:pPr>
      <w:r>
        <w:rPr>
          <w:noProof/>
        </w:rPr>
        <w:t>Раздел 5. Консолидированная финансовая отчетность (финансовая отчетность), бухгалтерская (финансовая) отчетность эмитента</w:t>
      </w:r>
      <w:r>
        <w:rPr>
          <w:noProof/>
        </w:rPr>
        <w:tab/>
      </w:r>
      <w:r>
        <w:rPr>
          <w:noProof/>
        </w:rPr>
        <w:fldChar w:fldCharType="begin"/>
      </w:r>
      <w:r>
        <w:rPr>
          <w:noProof/>
        </w:rPr>
        <w:instrText xml:space="preserve"> PAGEREF _Toc196398505 \h </w:instrText>
      </w:r>
      <w:r>
        <w:rPr>
          <w:noProof/>
        </w:rPr>
      </w:r>
      <w:r>
        <w:rPr>
          <w:noProof/>
        </w:rPr>
        <w:fldChar w:fldCharType="separate"/>
      </w:r>
      <w:r w:rsidR="00B65B2A">
        <w:rPr>
          <w:noProof/>
        </w:rPr>
        <w:t>70</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5.1. Консолидированная финансовая отчетность (финансовая отчетность) эмитента</w:t>
      </w:r>
      <w:r>
        <w:rPr>
          <w:noProof/>
        </w:rPr>
        <w:tab/>
      </w:r>
      <w:r>
        <w:rPr>
          <w:noProof/>
        </w:rPr>
        <w:fldChar w:fldCharType="begin"/>
      </w:r>
      <w:r>
        <w:rPr>
          <w:noProof/>
        </w:rPr>
        <w:instrText xml:space="preserve"> PAGEREF _Toc196398506 \h </w:instrText>
      </w:r>
      <w:r>
        <w:rPr>
          <w:noProof/>
        </w:rPr>
      </w:r>
      <w:r>
        <w:rPr>
          <w:noProof/>
        </w:rPr>
        <w:fldChar w:fldCharType="separate"/>
      </w:r>
      <w:r w:rsidR="00B65B2A">
        <w:rPr>
          <w:noProof/>
        </w:rPr>
        <w:t>70</w:t>
      </w:r>
      <w:r>
        <w:rPr>
          <w:noProof/>
        </w:rPr>
        <w:fldChar w:fldCharType="end"/>
      </w:r>
    </w:p>
    <w:p w:rsidR="00C56E93" w:rsidRDefault="00C56E93">
      <w:pPr>
        <w:pStyle w:val="21"/>
        <w:tabs>
          <w:tab w:val="right" w:leader="dot" w:pos="8919"/>
        </w:tabs>
        <w:rPr>
          <w:rFonts w:asciiTheme="minorHAnsi" w:hAnsiTheme="minorHAnsi" w:cstheme="minorBidi"/>
          <w:noProof/>
          <w:sz w:val="22"/>
          <w:szCs w:val="22"/>
        </w:rPr>
      </w:pPr>
      <w:r>
        <w:rPr>
          <w:noProof/>
        </w:rPr>
        <w:t>5.2. Бухгалтерская (финансовая) отчетность</w:t>
      </w:r>
      <w:r>
        <w:rPr>
          <w:noProof/>
        </w:rPr>
        <w:tab/>
      </w:r>
      <w:r>
        <w:rPr>
          <w:noProof/>
        </w:rPr>
        <w:fldChar w:fldCharType="begin"/>
      </w:r>
      <w:r>
        <w:rPr>
          <w:noProof/>
        </w:rPr>
        <w:instrText xml:space="preserve"> PAGEREF _Toc196398507 \h </w:instrText>
      </w:r>
      <w:r>
        <w:rPr>
          <w:noProof/>
        </w:rPr>
      </w:r>
      <w:r>
        <w:rPr>
          <w:noProof/>
        </w:rPr>
        <w:fldChar w:fldCharType="separate"/>
      </w:r>
      <w:r w:rsidR="00B65B2A">
        <w:rPr>
          <w:noProof/>
        </w:rPr>
        <w:t>70</w:t>
      </w:r>
      <w:r>
        <w:rPr>
          <w:noProof/>
        </w:rPr>
        <w:fldChar w:fldCharType="end"/>
      </w:r>
    </w:p>
    <w:p w:rsidR="0076611B" w:rsidRDefault="0076611B" w:rsidP="00A25A15">
      <w:pPr>
        <w:pStyle w:val="1"/>
      </w:pPr>
      <w:r>
        <w:fldChar w:fldCharType="end"/>
      </w:r>
      <w:r>
        <w:br w:type="page"/>
      </w:r>
      <w:bookmarkStart w:id="1" w:name="_Toc196398443"/>
      <w:r>
        <w:lastRenderedPageBreak/>
        <w:t>Введение</w:t>
      </w:r>
      <w:bookmarkEnd w:id="1"/>
    </w:p>
    <w:p w:rsidR="00A25A15" w:rsidRDefault="0076611B" w:rsidP="00A25A15">
      <w:pPr>
        <w:pStyle w:val="SubHeading"/>
        <w:jc w:val="both"/>
      </w:pPr>
      <w:r>
        <w:t>Основания возникновения у эмитента обязанности осуществлять раскрытие информации в форме отчета эмитента</w:t>
      </w:r>
      <w:r w:rsidR="00E223A1">
        <w:t>:</w:t>
      </w:r>
    </w:p>
    <w:p w:rsidR="00A25A15" w:rsidRDefault="0076611B" w:rsidP="00A25A15">
      <w:pPr>
        <w:pStyle w:val="SubHeading"/>
        <w:jc w:val="both"/>
        <w:rPr>
          <w:rStyle w:val="Subst"/>
          <w:bCs/>
          <w:iCs/>
        </w:rPr>
      </w:pPr>
      <w:r>
        <w:rPr>
          <w:rStyle w:val="Subst"/>
          <w:bCs/>
          <w:iCs/>
        </w:rPr>
        <w:t>В отношении ценных бумаг эмитента осуществлена регистрация проспекта ценных бумаг</w:t>
      </w:r>
      <w:r w:rsidR="00E223A1">
        <w:rPr>
          <w:rStyle w:val="Subst"/>
          <w:bCs/>
          <w:iCs/>
        </w:rPr>
        <w:t>;</w:t>
      </w:r>
    </w:p>
    <w:p w:rsidR="00A25A15" w:rsidRDefault="0076611B" w:rsidP="00A25A15">
      <w:pPr>
        <w:pStyle w:val="SubHeading"/>
        <w:jc w:val="both"/>
        <w:rPr>
          <w:rStyle w:val="Subst"/>
          <w:bCs/>
          <w:iCs/>
        </w:rPr>
      </w:pPr>
      <w:r>
        <w:rPr>
          <w:rStyle w:val="Subst"/>
          <w:bCs/>
          <w:iCs/>
        </w:rPr>
        <w:t>Государственная регистрация хотя бы одного выпуска (дополнительного выпуска) ценных бумаг эмитента сопровождалась регистрацией проспекта эмиссии цен</w:t>
      </w:r>
      <w:r w:rsidR="00A25A15">
        <w:rPr>
          <w:rStyle w:val="Subst"/>
          <w:bCs/>
          <w:iCs/>
        </w:rPr>
        <w:t xml:space="preserve">ных бумаг, при </w:t>
      </w:r>
      <w:r>
        <w:rPr>
          <w:rStyle w:val="Subst"/>
          <w:bCs/>
          <w:iCs/>
        </w:rPr>
        <w:t>этом размещение таких ценных бумаг осуществлялось путем открытой подписки или путем закрытой подписки среди круга лиц, число которых превышало 500</w:t>
      </w:r>
      <w:r w:rsidR="00E223A1">
        <w:rPr>
          <w:rStyle w:val="Subst"/>
          <w:bCs/>
          <w:iCs/>
        </w:rPr>
        <w:t>;</w:t>
      </w:r>
    </w:p>
    <w:p w:rsidR="0076611B" w:rsidRPr="00A25A15" w:rsidRDefault="00E223A1" w:rsidP="00A25A15">
      <w:pPr>
        <w:pStyle w:val="SubHeading"/>
        <w:jc w:val="both"/>
      </w:pPr>
      <w:r w:rsidRPr="00A17044">
        <w:rPr>
          <w:rStyle w:val="Subst"/>
          <w:bCs/>
          <w:iCs/>
        </w:rPr>
        <w:t>Эмитент является публичным акционерным обществом.</w:t>
      </w:r>
    </w:p>
    <w:p w:rsidR="0076611B" w:rsidRDefault="0076611B" w:rsidP="00E223A1">
      <w:pPr>
        <w:ind w:left="200"/>
        <w:jc w:val="both"/>
      </w:pPr>
    </w:p>
    <w:p w:rsidR="0076611B" w:rsidRDefault="0076611B" w:rsidP="00E223A1">
      <w:pPr>
        <w:jc w:val="both"/>
      </w:pPr>
      <w: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rsidR="0076611B" w:rsidRDefault="0076611B" w:rsidP="00E223A1">
      <w:pPr>
        <w:jc w:val="both"/>
        <w:rPr>
          <w:rStyle w:val="Subst"/>
          <w:bCs/>
          <w:iCs/>
        </w:rPr>
      </w:pPr>
      <w:r>
        <w:rPr>
          <w:rStyle w:val="Subst"/>
          <w:bCs/>
          <w:iCs/>
        </w:rPr>
        <w:t xml:space="preserve">В </w:t>
      </w:r>
      <w:r w:rsidR="00A318DD">
        <w:rPr>
          <w:rStyle w:val="Subst"/>
          <w:bCs/>
          <w:iCs/>
        </w:rPr>
        <w:t xml:space="preserve">настоящем </w:t>
      </w:r>
      <w:r>
        <w:rPr>
          <w:rStyle w:val="Subst"/>
          <w:bCs/>
          <w:iCs/>
        </w:rPr>
        <w:t xml:space="preserve">отчёте содержится ссылка </w:t>
      </w:r>
      <w:r w:rsidR="00A318DD">
        <w:rPr>
          <w:rStyle w:val="Subst"/>
          <w:bCs/>
          <w:iCs/>
        </w:rPr>
        <w:t xml:space="preserve">на отчетность следующего вида: </w:t>
      </w:r>
      <w:r>
        <w:rPr>
          <w:rStyle w:val="Subst"/>
          <w:bCs/>
          <w:iCs/>
        </w:rPr>
        <w:t>финансовая отчетность, на основании которой в отчете эмитента раскрывается информация о финансово-хозяйственной деятельности эмитента</w:t>
      </w:r>
    </w:p>
    <w:p w:rsidR="0076611B" w:rsidRDefault="0076611B" w:rsidP="00E223A1">
      <w:pPr>
        <w:jc w:val="both"/>
        <w:rPr>
          <w:rStyle w:val="Subst"/>
          <w:bCs/>
          <w:iCs/>
        </w:rPr>
      </w:pPr>
      <w:r>
        <w:rPr>
          <w:rStyle w:val="Subst"/>
          <w:bCs/>
          <w:iCs/>
        </w:rPr>
        <w:t>В отчёте также содержится ссылка на бухгалтерскую (финансовую) отчётность, на основании которой в отчете эмитента раскрывается информация о финансово-хозяйственной</w:t>
      </w:r>
      <w:r w:rsidR="00A25A15">
        <w:rPr>
          <w:rStyle w:val="Subst"/>
          <w:bCs/>
          <w:iCs/>
        </w:rPr>
        <w:t xml:space="preserve"> деятельности эмитента в пункте: 4.</w:t>
      </w:r>
      <w:r>
        <w:rPr>
          <w:rStyle w:val="Subst"/>
          <w:bCs/>
          <w:iCs/>
        </w:rPr>
        <w:t>4</w:t>
      </w:r>
    </w:p>
    <w:p w:rsidR="0076611B" w:rsidRDefault="0076611B" w:rsidP="00E223A1">
      <w:pPr>
        <w:pStyle w:val="ThinDelim"/>
        <w:jc w:val="both"/>
      </w:pPr>
    </w:p>
    <w:p w:rsidR="0076611B" w:rsidRDefault="0076611B" w:rsidP="00E223A1">
      <w:pPr>
        <w:jc w:val="both"/>
      </w:pPr>
      <w:r>
        <w:t>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rsidR="0076611B" w:rsidRDefault="0076611B" w:rsidP="00E223A1">
      <w:pPr>
        <w:jc w:val="both"/>
      </w:pPr>
      <w: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76611B" w:rsidRDefault="0076611B" w:rsidP="00E223A1">
      <w:pPr>
        <w:jc w:val="both"/>
      </w:pPr>
      <w:r>
        <w:t>Иная информация, которая, по мнению эмитента, будет полезна для заинтересованных лиц при принятии ими экономических решений:</w:t>
      </w:r>
      <w:r>
        <w:br/>
      </w:r>
      <w:r>
        <w:rPr>
          <w:rStyle w:val="Subst"/>
          <w:bCs/>
          <w:iCs/>
        </w:rPr>
        <w:t>В настоящем отчете под эмитентом, Обществом, компанией понимается одно и то же лицо – ПАО "Мордовская энергосбытовая компания".</w:t>
      </w:r>
    </w:p>
    <w:p w:rsidR="0076611B" w:rsidRDefault="0076611B" w:rsidP="00E223A1">
      <w:pPr>
        <w:pStyle w:val="1"/>
        <w:jc w:val="both"/>
      </w:pPr>
      <w:bookmarkStart w:id="2" w:name="_Toc196398444"/>
      <w:r>
        <w:t>Раздел 1. Управленческий отчет эмитента</w:t>
      </w:r>
      <w:bookmarkEnd w:id="2"/>
    </w:p>
    <w:p w:rsidR="0076611B" w:rsidRDefault="0076611B" w:rsidP="00E223A1">
      <w:pPr>
        <w:pStyle w:val="2"/>
        <w:jc w:val="both"/>
      </w:pPr>
      <w:bookmarkStart w:id="3" w:name="_Toc196398445"/>
      <w:r>
        <w:t>1.1. Общие сведения об эмитенте и его деятельности</w:t>
      </w:r>
      <w:bookmarkEnd w:id="3"/>
    </w:p>
    <w:p w:rsidR="0020357F" w:rsidRPr="00A17044" w:rsidRDefault="0020357F" w:rsidP="0020357F">
      <w:pPr>
        <w:widowControl/>
        <w:autoSpaceDE/>
        <w:autoSpaceDN/>
        <w:adjustRightInd/>
        <w:spacing w:before="0" w:after="0"/>
        <w:jc w:val="both"/>
      </w:pPr>
      <w:r>
        <w:t xml:space="preserve">  </w:t>
      </w:r>
      <w:r w:rsidRPr="00A17044">
        <w:t>Краткая информация об Эмитенте:</w:t>
      </w:r>
    </w:p>
    <w:p w:rsidR="0020357F" w:rsidRDefault="0020357F" w:rsidP="00E223A1">
      <w:pPr>
        <w:ind w:left="200"/>
        <w:jc w:val="both"/>
      </w:pPr>
    </w:p>
    <w:p w:rsidR="0076611B" w:rsidRDefault="0076611B" w:rsidP="00E223A1">
      <w:pPr>
        <w:ind w:left="200"/>
        <w:jc w:val="both"/>
      </w:pPr>
      <w:r>
        <w:t>Полное фирменное наименование эмитента:</w:t>
      </w:r>
      <w:r>
        <w:rPr>
          <w:rStyle w:val="Subst"/>
          <w:bCs/>
          <w:iCs/>
        </w:rPr>
        <w:t xml:space="preserve"> Публичное акционерное общество "Мордовская энергосбытовая компания"</w:t>
      </w:r>
    </w:p>
    <w:p w:rsidR="0076611B" w:rsidRDefault="0076611B" w:rsidP="00E223A1">
      <w:pPr>
        <w:ind w:left="200"/>
        <w:jc w:val="both"/>
      </w:pPr>
      <w:r>
        <w:t>Сокращенное фирменное наименование эмитента:</w:t>
      </w:r>
      <w:r>
        <w:rPr>
          <w:rStyle w:val="Subst"/>
          <w:bCs/>
          <w:iCs/>
        </w:rPr>
        <w:t xml:space="preserve"> ПАО «Мордовская энергосбытовая компания»</w:t>
      </w:r>
    </w:p>
    <w:p w:rsidR="0076611B" w:rsidRDefault="0076611B" w:rsidP="0020357F">
      <w:pPr>
        <w:tabs>
          <w:tab w:val="left" w:pos="735"/>
        </w:tabs>
        <w:ind w:left="200"/>
        <w:jc w:val="both"/>
      </w:pPr>
      <w:r>
        <w:t>Место нахождения эмитента:</w:t>
      </w:r>
      <w:r>
        <w:rPr>
          <w:rStyle w:val="Subst"/>
          <w:bCs/>
          <w:iCs/>
        </w:rPr>
        <w:t xml:space="preserve"> Российская Федерация, Республика Мордовия, г. Саранск</w:t>
      </w:r>
    </w:p>
    <w:p w:rsidR="0076611B" w:rsidRDefault="0076611B" w:rsidP="00E223A1">
      <w:pPr>
        <w:ind w:left="200"/>
        <w:jc w:val="both"/>
      </w:pPr>
      <w:r>
        <w:t>Адрес эмитента:</w:t>
      </w:r>
      <w:r>
        <w:rPr>
          <w:rStyle w:val="Subst"/>
          <w:bCs/>
          <w:iCs/>
        </w:rPr>
        <w:t xml:space="preserve"> 430016, Российская Федерация, Республика Мордовия, г. Саранск, ул. Большевистская, д.117А</w:t>
      </w:r>
    </w:p>
    <w:p w:rsidR="0076611B" w:rsidRDefault="0076611B" w:rsidP="00E223A1">
      <w:pPr>
        <w:ind w:left="200"/>
        <w:jc w:val="both"/>
      </w:pPr>
      <w:r>
        <w:t>Сведения о способе создания эмитента:</w:t>
      </w:r>
      <w:r>
        <w:br/>
      </w:r>
      <w:r>
        <w:rPr>
          <w:rStyle w:val="Subst"/>
          <w:bCs/>
          <w:iCs/>
        </w:rPr>
        <w:t xml:space="preserve">Открытое акционерное общество «Мордовская энергосбытовая компания» (сейчас - Публичное акционерное общество "Мордовская энергосбытовая компания") создано в результате </w:t>
      </w:r>
      <w:r>
        <w:rPr>
          <w:rStyle w:val="Subst"/>
          <w:bCs/>
          <w:iCs/>
        </w:rPr>
        <w:lastRenderedPageBreak/>
        <w:t>реорганизации ОАО «Мордовэнерго» в форме выделения (протокол внеочередного Общего собрания акционеров ОАО «Мордовэнерго» от 07 июля 2004 г. № 3) и зарегистрировано в качестве юридического лица 01 февраля 2005 года. Эмитент создан на неопределенный срок.</w:t>
      </w:r>
      <w:r>
        <w:rPr>
          <w:rStyle w:val="Subst"/>
          <w:bCs/>
          <w:iCs/>
        </w:rPr>
        <w:br/>
        <w:t>Реорганизация ОАО «Мордовэнерго» в форме выделения компаний по видам деятельности: ОАО «Мордовская генерирующая компания»,  ОАО «Мордовская теплосетевая компания», ОАО «Мордовская энергосбытовая компания», ОАО «Мордовская энергетическая управляющая компания» и ОАО «Мордовская магистральная сетевая компания» проводилась в соответствии с основными направлениями государственной политики по реформированию электроэнергетики и Проектом реформирования ОАО «Мордовэнерго».</w:t>
      </w:r>
    </w:p>
    <w:p w:rsidR="0076611B" w:rsidRDefault="0076611B" w:rsidP="00E223A1">
      <w:pPr>
        <w:ind w:left="200"/>
        <w:jc w:val="both"/>
      </w:pPr>
      <w:r>
        <w:t>Дата создания эмитента:</w:t>
      </w:r>
      <w:r>
        <w:rPr>
          <w:rStyle w:val="Subst"/>
          <w:bCs/>
          <w:iCs/>
        </w:rPr>
        <w:t xml:space="preserve"> 01.02.2005</w:t>
      </w:r>
    </w:p>
    <w:p w:rsidR="00A81465" w:rsidRPr="00A81465" w:rsidRDefault="00A81465" w:rsidP="00A81465">
      <w:pPr>
        <w:pStyle w:val="SubHeading"/>
        <w:ind w:left="200"/>
        <w:jc w:val="both"/>
        <w:rPr>
          <w:bCs/>
          <w:iCs/>
        </w:rPr>
      </w:pPr>
      <w:r w:rsidRPr="00A17044">
        <w:t xml:space="preserve">Сведения о </w:t>
      </w:r>
      <w:r>
        <w:t>случаях изменения наименования э</w:t>
      </w:r>
      <w:r w:rsidRPr="00A17044">
        <w:t>митента в течение трех последних лет, предшествующих дате окончания отчетного</w:t>
      </w:r>
      <w:r>
        <w:t xml:space="preserve"> периода, за который составлен о</w:t>
      </w:r>
      <w:r w:rsidRPr="00A17044">
        <w:t>тчет эмитента:</w:t>
      </w:r>
      <w:r w:rsidRPr="00A17044">
        <w:rPr>
          <w:bCs/>
          <w:iCs/>
        </w:rPr>
        <w:t xml:space="preserve"> </w:t>
      </w:r>
      <w:r>
        <w:rPr>
          <w:rStyle w:val="Subst"/>
          <w:bCs/>
          <w:iCs/>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rsidR="0076611B" w:rsidRDefault="0076611B" w:rsidP="00E223A1">
      <w:pPr>
        <w:ind w:left="400"/>
        <w:jc w:val="both"/>
      </w:pPr>
    </w:p>
    <w:p w:rsidR="0076611B" w:rsidRDefault="0076611B" w:rsidP="00E223A1">
      <w:pPr>
        <w:ind w:left="200"/>
        <w:jc w:val="both"/>
      </w:pPr>
      <w:r>
        <w:rPr>
          <w:rStyle w:val="Subst"/>
          <w:bCs/>
          <w:iCs/>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rsidR="0076611B" w:rsidRDefault="0076611B" w:rsidP="00E223A1">
      <w:pPr>
        <w:ind w:left="200"/>
        <w:jc w:val="both"/>
      </w:pPr>
      <w:r>
        <w:t>Основной государственный регистрационный номер (ОГРН):</w:t>
      </w:r>
      <w:r>
        <w:rPr>
          <w:rStyle w:val="Subst"/>
          <w:bCs/>
          <w:iCs/>
        </w:rPr>
        <w:t xml:space="preserve"> 1051326000967</w:t>
      </w:r>
    </w:p>
    <w:p w:rsidR="0076611B" w:rsidRPr="00711079" w:rsidRDefault="0076611B" w:rsidP="00E223A1">
      <w:pPr>
        <w:ind w:left="200"/>
        <w:jc w:val="both"/>
      </w:pPr>
      <w:r>
        <w:t>ИНН:</w:t>
      </w:r>
      <w:r>
        <w:rPr>
          <w:rStyle w:val="Subst"/>
          <w:bCs/>
          <w:iCs/>
        </w:rPr>
        <w:t xml:space="preserve"> 1326192645</w:t>
      </w:r>
    </w:p>
    <w:p w:rsidR="0076611B" w:rsidRDefault="0076611B" w:rsidP="00E223A1">
      <w:pPr>
        <w:ind w:left="200"/>
        <w:jc w:val="both"/>
      </w:pPr>
    </w:p>
    <w:p w:rsidR="00855F0A" w:rsidRDefault="0076611B" w:rsidP="00E223A1">
      <w:pPr>
        <w:ind w:left="200"/>
        <w:jc w:val="both"/>
      </w:pPr>
      <w:r>
        <w:t>Краткое описание финансово-хозяйственной деятельности, операционных сегментов и географии осуществления финансово-хозяйственной деятельности эмитента:</w:t>
      </w:r>
      <w:r>
        <w:br/>
      </w:r>
      <w:r>
        <w:rPr>
          <w:rStyle w:val="Subst"/>
          <w:bCs/>
          <w:iCs/>
        </w:rPr>
        <w:t>ПАО «Мордовская энергосбытовая компания», является гарантирующим поставщиком электрической энергии на территории Республики Мордовия, главными направлениями деятельности которого является:</w:t>
      </w:r>
      <w:r>
        <w:rPr>
          <w:rStyle w:val="Subst"/>
          <w:bCs/>
          <w:iCs/>
        </w:rPr>
        <w:br/>
        <w:t>- покупка электрической энергии на оптовом и розничных рынках электрической энергии (мощности);</w:t>
      </w:r>
      <w:r>
        <w:rPr>
          <w:rStyle w:val="Subst"/>
          <w:bCs/>
          <w:iCs/>
        </w:rPr>
        <w:br/>
        <w:t>- реализация (продажа) электрической энергии на оптовом и розничных рынках электрической энергии (мощности) потребителям (в том числе гражданам);</w:t>
      </w:r>
      <w:r>
        <w:rPr>
          <w:rStyle w:val="Subst"/>
          <w:bCs/>
          <w:iCs/>
        </w:rPr>
        <w:br/>
        <w:t>- выполнение функций гарантирующего поставщика на основании решений уполномоченных органов;</w:t>
      </w:r>
      <w:r>
        <w:rPr>
          <w:rStyle w:val="Subst"/>
          <w:bCs/>
          <w:iCs/>
        </w:rPr>
        <w:br/>
        <w:t>- оказание услуг по организации коммерческого учета.</w:t>
      </w:r>
      <w:r>
        <w:rPr>
          <w:rStyle w:val="Subst"/>
          <w:bCs/>
          <w:iCs/>
        </w:rPr>
        <w:br/>
        <w:t>Общество ведет свою деятельность в одном операционном сегменте, а именно реализация электроэнергии на розничном и оптовом рынках электроэнергии (мощности) потребителям (в том числе гражданам). Руководство оценивает результаты деятельности, производит инвестиции и принимает стратегические решения по результатам деятельности Общества в целом.</w:t>
      </w:r>
      <w:r>
        <w:rPr>
          <w:rStyle w:val="Subst"/>
          <w:bCs/>
          <w:iCs/>
        </w:rPr>
        <w:br/>
        <w:t xml:space="preserve">Рынком сбыта электроэнергии для ПАО «Мордовская энергосбытовая компания» является территория Республики Мордовия. Республика Мордовия расположена на востоке Восточно-европейской равнины и граничит на юге – с Пензенской областью, на западе – с Рязанской областью, на севере-востоке – с Республикой Чувашией, на юго-востоке – с Ульяновской областью и на севере – с Нижегородской областью. Входит в Приволжский федеральный округ. Население </w:t>
      </w:r>
      <w:r w:rsidRPr="00A25A15">
        <w:rPr>
          <w:rStyle w:val="Subst"/>
          <w:bCs/>
          <w:iCs/>
        </w:rPr>
        <w:t>–</w:t>
      </w:r>
      <w:r w:rsidR="00A25A15" w:rsidRPr="00A25A15">
        <w:rPr>
          <w:rStyle w:val="Subst"/>
          <w:bCs/>
          <w:iCs/>
        </w:rPr>
        <w:t xml:space="preserve"> </w:t>
      </w:r>
      <w:r w:rsidR="00711079" w:rsidRPr="00A25A15">
        <w:rPr>
          <w:rStyle w:val="Subst"/>
          <w:bCs/>
          <w:iCs/>
        </w:rPr>
        <w:t xml:space="preserve">758,3 </w:t>
      </w:r>
      <w:r w:rsidRPr="00A25A15">
        <w:rPr>
          <w:rStyle w:val="Subst"/>
          <w:bCs/>
          <w:iCs/>
        </w:rPr>
        <w:t xml:space="preserve">тыс. человек, площадь </w:t>
      </w:r>
      <w:r w:rsidR="00711079" w:rsidRPr="00A25A15">
        <w:rPr>
          <w:rStyle w:val="Subst"/>
          <w:bCs/>
          <w:iCs/>
        </w:rPr>
        <w:t xml:space="preserve">26,2 </w:t>
      </w:r>
      <w:r w:rsidRPr="00A25A15">
        <w:rPr>
          <w:rStyle w:val="Subst"/>
          <w:bCs/>
          <w:iCs/>
        </w:rPr>
        <w:t>тыс. кв. км.</w:t>
      </w:r>
      <w:r>
        <w:rPr>
          <w:rStyle w:val="Subst"/>
          <w:bCs/>
          <w:iCs/>
        </w:rPr>
        <w:br/>
        <w:t>Сотрудники 23 районных служб ПАО «Мордовская энергосбытовая компания» осуществляют свою деятельность непосредственно во всех районах Мордовии. Компания занимает доминирующее положение на энергетическом рынке Республики Мордовия и обслуживает 6 690 юридических лиц и 272 036 физических лиц. Наблюдается положительная динамика увеличения количества потребителей как юридических, так и физических лиц.</w:t>
      </w:r>
    </w:p>
    <w:p w:rsidR="0076611B" w:rsidRDefault="0076611B" w:rsidP="00E223A1">
      <w:pPr>
        <w:pStyle w:val="SubHeading"/>
        <w:ind w:left="200"/>
        <w:jc w:val="both"/>
      </w:pPr>
      <w:r>
        <w:t>Иные ограничения, связанные с участием в уставном капитале эмитента, установленные его уставом</w:t>
      </w:r>
    </w:p>
    <w:p w:rsidR="0076611B" w:rsidRDefault="0076611B" w:rsidP="008024FB">
      <w:pPr>
        <w:ind w:left="200"/>
        <w:jc w:val="both"/>
      </w:pPr>
      <w:r w:rsidRPr="008024FB">
        <w:rPr>
          <w:b/>
          <w:i/>
        </w:rPr>
        <w:t xml:space="preserve">В Уставе эмитента не установлены ограничения на участие в уставном капитале эмитента. </w:t>
      </w:r>
      <w:r w:rsidRPr="008024FB">
        <w:rPr>
          <w:b/>
          <w:i/>
        </w:rPr>
        <w:br/>
        <w:t>Однако, в настоящее время действует Указ Президента РФ от 1 марта 2022 г. N 81 "О дополнительных временных мерах экономического характера по обеспечению финансовой стабильности Российской Федерации", которым приняты дополнительные временные меры экономического характера по обеспечению финансовой стабильности Российской Федерации.</w:t>
      </w:r>
    </w:p>
    <w:p w:rsidR="0076611B" w:rsidRDefault="0076611B" w:rsidP="00E223A1">
      <w:pPr>
        <w:ind w:left="200"/>
        <w:jc w:val="both"/>
      </w:pPr>
      <w: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rsidR="0076611B" w:rsidRDefault="0076611B" w:rsidP="00E223A1">
      <w:pPr>
        <w:ind w:left="200"/>
        <w:jc w:val="both"/>
      </w:pPr>
      <w:r>
        <w:rPr>
          <w:rStyle w:val="Subst"/>
          <w:bCs/>
          <w:iCs/>
        </w:rPr>
        <w:t>отсутствует</w:t>
      </w:r>
    </w:p>
    <w:p w:rsidR="0076611B" w:rsidRDefault="0076611B" w:rsidP="00E223A1">
      <w:pPr>
        <w:pStyle w:val="2"/>
        <w:jc w:val="both"/>
      </w:pPr>
      <w:bookmarkStart w:id="4" w:name="_Toc196398446"/>
      <w:r>
        <w:lastRenderedPageBreak/>
        <w:t>1.2. Сведения о положении эмитента в отрасли</w:t>
      </w:r>
      <w:bookmarkEnd w:id="4"/>
    </w:p>
    <w:p w:rsidR="00267270" w:rsidRDefault="0076611B" w:rsidP="00E223A1">
      <w:pPr>
        <w:ind w:left="200"/>
        <w:jc w:val="both"/>
        <w:rPr>
          <w:rStyle w:val="Subst"/>
          <w:bCs/>
          <w:iCs/>
        </w:rPr>
      </w:pPr>
      <w:r>
        <w:rPr>
          <w:rStyle w:val="Subst"/>
          <w:bCs/>
          <w:iCs/>
        </w:rPr>
        <w:t>Общая характеристика отрасли, в которой эмитент осуществляет свою финансово-хозяйственную деятельность. Сведения о структуре отрасли и темпах ее развития, основных тенденциях развития, а также основных факторах, оказывающих влияние на ее состояние.</w:t>
      </w:r>
      <w:r>
        <w:rPr>
          <w:rStyle w:val="Subst"/>
          <w:bCs/>
          <w:iCs/>
        </w:rPr>
        <w:br/>
      </w:r>
      <w:r>
        <w:rPr>
          <w:rStyle w:val="Subst"/>
          <w:bCs/>
          <w:iCs/>
        </w:rPr>
        <w:br/>
        <w:t>ПАО «Мордовская энергосбытовая компания» осуществляет свою деятельность в отрасли «Электроэнергетика».</w:t>
      </w:r>
      <w:r>
        <w:rPr>
          <w:rStyle w:val="Subst"/>
          <w:bCs/>
          <w:iCs/>
        </w:rPr>
        <w:br/>
      </w:r>
      <w:r w:rsidR="00267270" w:rsidRPr="00267270">
        <w:rPr>
          <w:rStyle w:val="Subst"/>
          <w:bCs/>
          <w:iCs/>
        </w:rP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855F0A" w:rsidRDefault="0076611B" w:rsidP="00E223A1">
      <w:pPr>
        <w:ind w:left="200"/>
        <w:jc w:val="both"/>
        <w:rPr>
          <w:rStyle w:val="Subst"/>
          <w:bCs/>
          <w:iCs/>
        </w:rPr>
      </w:pPr>
      <w:r>
        <w:rPr>
          <w:rStyle w:val="Subst"/>
          <w:bCs/>
          <w:iCs/>
        </w:rPr>
        <w:t>Устойчивое развитие и надежное функционирование отрасли во многом определяют энергетическую безопасность страны и являются важными факторами ее успешного экономического развития.</w:t>
      </w:r>
      <w:r>
        <w:rPr>
          <w:rStyle w:val="Subst"/>
          <w:bCs/>
          <w:iCs/>
        </w:rPr>
        <w:br/>
        <w:t>За последние годы в электроэнергетике России произошли радикальные преобразования: изменилась система государственного регулирования отрасли, сформировался конкурентный рынок электроэнергии, были созданы новые компании. Изменилась и структура отрасли: было осуществлено разделение естественно монопольных (передача электроэнергии, оперативно-диспетчерское управление) и потенциально конкурентных (производство и сбыт электроэнергии, ремонт и сервис) функций; вместо прежних вертикально-интегрированных компаний, выполнявших все эти функции, созданы структуры, специализирующиеся на отдельных видах деятельности.</w:t>
      </w:r>
      <w:r>
        <w:rPr>
          <w:rStyle w:val="Subst"/>
          <w:bCs/>
          <w:iCs/>
        </w:rPr>
        <w:br/>
        <w:t>Магистральные сети перешли под контроль Федеральной сетевой компании, распределительные сети интегрированы в межрегиональные распределительные сетевые компании (МРСК), функции и активы региональных диспетчерских управлений были переданы общероссийскому Системному оператору (СО ЕЭС).</w:t>
      </w:r>
      <w:r>
        <w:rPr>
          <w:rStyle w:val="Subst"/>
          <w:bCs/>
          <w:iCs/>
        </w:rPr>
        <w:br/>
        <w:t>Активы генерации в процессе реформы объединились в межрегиональные компании двух видов: генерирующие компании оптового рынка (ОГК) и территориальные генерирующие компании (ТГК). ОГК объединили электростанции, специализированные на производстве почти исключительно электрической энергии. В ТГК вошли главным образом теплоэлектроцентрали (ТЭЦ), которые производят как электрическую, так и тепловую энергию. Всем эмитентам, являющимся энергосбытовыми компаниями, региональными регулирующими органами субъектов Российской Федерации присвоен статус гарантирующих поставщиков, обязывающий их в соответствии с законодательством заключать договор энергоснабжения или купли-продажи электрической энергии с любым обратившимся к ним потребителем, расположенным в границах его зоны деятельности.</w:t>
      </w:r>
      <w:r>
        <w:rPr>
          <w:rStyle w:val="Subst"/>
          <w:bCs/>
          <w:iCs/>
        </w:rPr>
        <w:br/>
        <w:t>Гарантирующий поставщик остается регулируемой организацией, деятельность которого регулируется сбытовой надбавкой, устанавливаемой для него государственным органом субъекта Российской Федерации в области регулирования тарифов на основании данных экономической экспертизы.</w:t>
      </w:r>
      <w:r>
        <w:rPr>
          <w:rStyle w:val="Subst"/>
          <w:bCs/>
          <w:iCs/>
        </w:rPr>
        <w:br/>
        <w:t>В настоящее время на территории Российской Федерации действует двухуровневый рынок электроэнергии: оптовый рынок электроэнергии и мощности (ОРЭМ) и розничный рынок электроэнергии (РРЭ). Оптовый рынок представляет собой сферу обращения особых товаров —</w:t>
      </w:r>
      <w:r>
        <w:rPr>
          <w:rStyle w:val="Subst"/>
          <w:bCs/>
          <w:iCs/>
        </w:rPr>
        <w:br/>
        <w:t>электрической энергии и мощности — в рамках ЕЭС России в границах единого экономического пространства Российской Федерации. На розничном рынке обращается только один товар — электрическая энергия.</w:t>
      </w:r>
      <w:r>
        <w:rPr>
          <w:rStyle w:val="Subst"/>
          <w:bCs/>
          <w:iCs/>
        </w:rPr>
        <w:br/>
      </w:r>
      <w:r>
        <w:rPr>
          <w:rStyle w:val="Subst"/>
          <w:bCs/>
          <w:iCs/>
        </w:rPr>
        <w:br/>
        <w:t>Основными факторами, влияющими как на состояние отрасли в целом, так и на деятельность Общества, являются:</w:t>
      </w:r>
      <w:r>
        <w:rPr>
          <w:rStyle w:val="Subst"/>
          <w:bCs/>
          <w:iCs/>
        </w:rPr>
        <w:br/>
        <w:t>- динамика и уровень спроса на электроэнергию, зависящие в основном от макроэкономической ситуации;</w:t>
      </w:r>
      <w:r>
        <w:rPr>
          <w:rStyle w:val="Subst"/>
          <w:bCs/>
          <w:iCs/>
        </w:rPr>
        <w:br/>
        <w:t>- специфика электроэнергии как товара, заключающаяся в одномоментном процессе производства, распределения и потребления электроэнергии, что обуславливает требования к большой точности прогнозов спроса (реализации энергии в регионе);</w:t>
      </w:r>
      <w:r>
        <w:rPr>
          <w:rStyle w:val="Subst"/>
          <w:bCs/>
          <w:iCs/>
        </w:rPr>
        <w:br/>
        <w:t>- упрощение доступа на оптовый рынок крупных промышленных предприятий, что создает предпосылки для сокращения клиентской базы;</w:t>
      </w:r>
      <w:r>
        <w:rPr>
          <w:rStyle w:val="Subst"/>
          <w:bCs/>
          <w:iCs/>
        </w:rPr>
        <w:br/>
        <w:t>- социально-экономическая обстановка в стране и в мире;</w:t>
      </w:r>
      <w:r>
        <w:rPr>
          <w:rStyle w:val="Subst"/>
          <w:bCs/>
          <w:iCs/>
        </w:rPr>
        <w:br/>
      </w:r>
      <w:r>
        <w:rPr>
          <w:rStyle w:val="Subst"/>
          <w:bCs/>
          <w:iCs/>
        </w:rPr>
        <w:lastRenderedPageBreak/>
        <w:t>- темпы роста ВВП, определяющие спрос на электроэнергию и уровень инвестиций в создание новых мощностей;</w:t>
      </w:r>
      <w:r>
        <w:rPr>
          <w:rStyle w:val="Subst"/>
          <w:bCs/>
          <w:iCs/>
        </w:rPr>
        <w:br/>
        <w:t>- внешнеполитические санкционные ограничения;</w:t>
      </w:r>
      <w:r>
        <w:rPr>
          <w:rStyle w:val="Subst"/>
          <w:bCs/>
          <w:iCs/>
        </w:rPr>
        <w:br/>
        <w:t>- законодательная база, определяющая окупаемость проектов в энергетике, источники и структуру инвестиционного портфеля энергокомпаний, уровень конкуренции и т.п.;</w:t>
      </w:r>
      <w:r>
        <w:rPr>
          <w:rStyle w:val="Subst"/>
          <w:bCs/>
          <w:iCs/>
        </w:rPr>
        <w:br/>
        <w:t>- уровень государственного стимулирования развития отдельных типов генерации;</w:t>
      </w:r>
      <w:r>
        <w:rPr>
          <w:rStyle w:val="Subst"/>
          <w:bCs/>
          <w:iCs/>
        </w:rPr>
        <w:br/>
        <w:t>- доступность рынков капитала, в том числе кредитных ресурсов;</w:t>
      </w:r>
      <w:r>
        <w:rPr>
          <w:rStyle w:val="Subst"/>
          <w:bCs/>
          <w:iCs/>
        </w:rPr>
        <w:br/>
        <w:t>- уровень платежной дисциплины потребителей электроэнергии;</w:t>
      </w:r>
      <w:r>
        <w:rPr>
          <w:rStyle w:val="Subst"/>
          <w:bCs/>
          <w:iCs/>
        </w:rPr>
        <w:br/>
        <w:t>- состояние основных производственных фондов предприятий отрасли.</w:t>
      </w:r>
      <w:r>
        <w:rPr>
          <w:rStyle w:val="Subst"/>
          <w:bCs/>
          <w:iCs/>
        </w:rPr>
        <w:br/>
      </w:r>
      <w:r>
        <w:rPr>
          <w:rStyle w:val="Subst"/>
          <w:bCs/>
          <w:iCs/>
        </w:rPr>
        <w:br/>
        <w:t xml:space="preserve">Общая оценка результатов финансово-хозяйственной деятельности эмитента в данной отрасли: </w:t>
      </w:r>
      <w:r>
        <w:rPr>
          <w:rStyle w:val="Subst"/>
          <w:bCs/>
          <w:iCs/>
        </w:rPr>
        <w:br/>
        <w:t>Результаты финансово-хозяйственной деятельности ПАО «Мордовская энергосбытовая компания» в отрасли оценив</w:t>
      </w:r>
      <w:r w:rsidR="00460E0B">
        <w:rPr>
          <w:rStyle w:val="Subst"/>
          <w:bCs/>
          <w:iCs/>
        </w:rPr>
        <w:t xml:space="preserve">аются как удовлетворительные. </w:t>
      </w:r>
      <w:r w:rsidR="00460E0B">
        <w:rPr>
          <w:rStyle w:val="Subst"/>
          <w:bCs/>
          <w:iCs/>
        </w:rPr>
        <w:br/>
      </w:r>
      <w:r>
        <w:rPr>
          <w:rStyle w:val="Subst"/>
          <w:bCs/>
          <w:iCs/>
        </w:rPr>
        <w:br/>
        <w:t>Объем товарной продукции (с НДС) за 2024 год составил 9 761,5 млн. руб., что выше объема соответствующего периода прошлого года на 842,0 тыс. руб. (+9,4%), при этом отмечается:</w:t>
      </w:r>
      <w:r>
        <w:rPr>
          <w:rStyle w:val="Subst"/>
          <w:bCs/>
          <w:iCs/>
        </w:rPr>
        <w:br/>
        <w:t>- рост объема товарной продукции конечным потребителям на 10,5% (2023г. – 7 985,1 млн. руб., 2024г. – 8 826,3 млн. руб.);</w:t>
      </w:r>
      <w:r>
        <w:rPr>
          <w:rStyle w:val="Subst"/>
          <w:bCs/>
          <w:iCs/>
        </w:rPr>
        <w:br/>
        <w:t>- рост объема товарной продукции сетевым организациям, приобретающих электроэнергию в целях компенсации потерь, на 0,1% (2023г. – 934,4 млн. ру</w:t>
      </w:r>
      <w:r w:rsidR="00855F0A">
        <w:rPr>
          <w:rStyle w:val="Subst"/>
          <w:bCs/>
          <w:iCs/>
        </w:rPr>
        <w:t>б., 2024г. – 9</w:t>
      </w:r>
      <w:r w:rsidR="00FE2DF0">
        <w:rPr>
          <w:rStyle w:val="Subst"/>
          <w:bCs/>
          <w:iCs/>
        </w:rPr>
        <w:t>35,2 млн. руб.).</w:t>
      </w:r>
    </w:p>
    <w:tbl>
      <w:tblPr>
        <w:tblW w:w="9087" w:type="dxa"/>
        <w:tblInd w:w="93" w:type="dxa"/>
        <w:tblLayout w:type="fixed"/>
        <w:tblLook w:val="04A0" w:firstRow="1" w:lastRow="0" w:firstColumn="1" w:lastColumn="0" w:noHBand="0" w:noVBand="1"/>
      </w:tblPr>
      <w:tblGrid>
        <w:gridCol w:w="9087"/>
      </w:tblGrid>
      <w:tr w:rsidR="00855F0A" w:rsidRPr="00FE2DF0" w:rsidTr="00855F0A">
        <w:trPr>
          <w:trHeight w:val="300"/>
        </w:trPr>
        <w:tc>
          <w:tcPr>
            <w:tcW w:w="9087" w:type="dxa"/>
            <w:tcBorders>
              <w:top w:val="nil"/>
              <w:left w:val="nil"/>
              <w:bottom w:val="nil"/>
              <w:right w:val="nil"/>
            </w:tcBorders>
            <w:noWrap/>
            <w:vAlign w:val="bottom"/>
            <w:hideMark/>
          </w:tcPr>
          <w:p w:rsidR="00855F0A" w:rsidRPr="00FE2DF0" w:rsidRDefault="00855F0A" w:rsidP="003825AD">
            <w:pPr>
              <w:widowControl/>
              <w:autoSpaceDE/>
              <w:autoSpaceDN/>
              <w:adjustRightInd/>
              <w:spacing w:before="0" w:after="0"/>
              <w:jc w:val="center"/>
              <w:rPr>
                <w:b/>
                <w:bCs/>
                <w:color w:val="000000"/>
                <w:highlight w:val="yellow"/>
              </w:rPr>
            </w:pPr>
          </w:p>
          <w:p w:rsidR="00855F0A" w:rsidRPr="00FE2DF0" w:rsidRDefault="00855F0A" w:rsidP="00855F0A">
            <w:pPr>
              <w:widowControl/>
              <w:autoSpaceDE/>
              <w:autoSpaceDN/>
              <w:adjustRightInd/>
              <w:spacing w:before="0" w:after="0"/>
              <w:jc w:val="right"/>
              <w:rPr>
                <w:b/>
                <w:bCs/>
                <w:color w:val="000000"/>
                <w:highlight w:val="yellow"/>
              </w:rPr>
            </w:pPr>
            <w:r w:rsidRPr="00FE2DF0">
              <w:rPr>
                <w:b/>
                <w:bCs/>
                <w:color w:val="000000"/>
              </w:rPr>
              <w:t>Таблица 1 «Структура товарной продукции электрической энергии за 2023-2024 гг. (с НДС)»</w:t>
            </w:r>
          </w:p>
        </w:tc>
      </w:tr>
      <w:tr w:rsidR="00855F0A" w:rsidRPr="00855F0A" w:rsidTr="00855F0A">
        <w:trPr>
          <w:trHeight w:val="300"/>
        </w:trPr>
        <w:tc>
          <w:tcPr>
            <w:tcW w:w="9087" w:type="dxa"/>
            <w:tcBorders>
              <w:top w:val="nil"/>
              <w:left w:val="nil"/>
              <w:bottom w:val="nil"/>
              <w:right w:val="nil"/>
            </w:tcBorders>
            <w:noWrap/>
            <w:vAlign w:val="bottom"/>
            <w:hideMark/>
          </w:tcPr>
          <w:p w:rsidR="00855F0A" w:rsidRPr="00855F0A" w:rsidRDefault="00855F0A" w:rsidP="003825AD">
            <w:pPr>
              <w:widowControl/>
              <w:autoSpaceDE/>
              <w:autoSpaceDN/>
              <w:adjustRightInd/>
              <w:spacing w:before="0" w:after="0"/>
              <w:jc w:val="center"/>
              <w:rPr>
                <w:rFonts w:ascii="Calibri" w:hAnsi="Calibri" w:cs="Calibri"/>
                <w:b/>
                <w:bCs/>
                <w:color w:val="000000"/>
                <w:sz w:val="22"/>
                <w:szCs w:val="22"/>
                <w:highlight w:val="yellow"/>
              </w:rPr>
            </w:pPr>
          </w:p>
          <w:tbl>
            <w:tblPr>
              <w:tblW w:w="8833" w:type="dxa"/>
              <w:tblLayout w:type="fixed"/>
              <w:tblLook w:val="04A0" w:firstRow="1" w:lastRow="0" w:firstColumn="1" w:lastColumn="0" w:noHBand="0" w:noVBand="1"/>
            </w:tblPr>
            <w:tblGrid>
              <w:gridCol w:w="2700"/>
              <w:gridCol w:w="1166"/>
              <w:gridCol w:w="1074"/>
              <w:gridCol w:w="1334"/>
              <w:gridCol w:w="1559"/>
              <w:gridCol w:w="1000"/>
            </w:tblGrid>
            <w:tr w:rsidR="00855F0A" w:rsidRPr="00855F0A" w:rsidTr="00855F0A">
              <w:trPr>
                <w:trHeight w:val="894"/>
              </w:trPr>
              <w:tc>
                <w:tcPr>
                  <w:tcW w:w="2700" w:type="dxa"/>
                  <w:vMerge w:val="restart"/>
                  <w:tcBorders>
                    <w:top w:val="single" w:sz="4" w:space="0" w:color="auto"/>
                    <w:left w:val="single" w:sz="4" w:space="0" w:color="auto"/>
                    <w:bottom w:val="single" w:sz="4" w:space="0" w:color="auto"/>
                    <w:right w:val="single" w:sz="4" w:space="0" w:color="auto"/>
                  </w:tcBorders>
                  <w:noWrap/>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Структура</w:t>
                  </w:r>
                </w:p>
              </w:tc>
              <w:tc>
                <w:tcPr>
                  <w:tcW w:w="1166" w:type="dxa"/>
                  <w:tcBorders>
                    <w:top w:val="single" w:sz="4" w:space="0" w:color="auto"/>
                    <w:bottom w:val="single" w:sz="4" w:space="0" w:color="auto"/>
                    <w:right w:val="single" w:sz="4" w:space="0" w:color="auto"/>
                  </w:tcBorders>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2023</w:t>
                  </w:r>
                  <w:r w:rsidR="00FE2DF0">
                    <w:rPr>
                      <w:b/>
                      <w:bCs/>
                      <w:color w:val="000000"/>
                      <w:sz w:val="18"/>
                      <w:szCs w:val="18"/>
                    </w:rPr>
                    <w:t xml:space="preserve"> </w:t>
                  </w:r>
                  <w:r w:rsidRPr="00855F0A">
                    <w:rPr>
                      <w:b/>
                      <w:bCs/>
                      <w:color w:val="000000"/>
                      <w:sz w:val="18"/>
                      <w:szCs w:val="18"/>
                    </w:rPr>
                    <w:t xml:space="preserve">г.    </w:t>
                  </w:r>
                </w:p>
              </w:tc>
              <w:tc>
                <w:tcPr>
                  <w:tcW w:w="1074" w:type="dxa"/>
                  <w:tcBorders>
                    <w:top w:val="single" w:sz="4" w:space="0" w:color="auto"/>
                    <w:bottom w:val="single" w:sz="4" w:space="0" w:color="auto"/>
                    <w:right w:val="single" w:sz="4" w:space="0" w:color="auto"/>
                  </w:tcBorders>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2024</w:t>
                  </w:r>
                  <w:r w:rsidR="00FE2DF0">
                    <w:rPr>
                      <w:b/>
                      <w:bCs/>
                      <w:color w:val="000000"/>
                      <w:sz w:val="18"/>
                      <w:szCs w:val="18"/>
                    </w:rPr>
                    <w:t xml:space="preserve"> </w:t>
                  </w:r>
                  <w:r w:rsidRPr="00855F0A">
                    <w:rPr>
                      <w:b/>
                      <w:bCs/>
                      <w:color w:val="000000"/>
                      <w:sz w:val="18"/>
                      <w:szCs w:val="18"/>
                    </w:rPr>
                    <w:t xml:space="preserve">г. </w:t>
                  </w:r>
                </w:p>
              </w:tc>
              <w:tc>
                <w:tcPr>
                  <w:tcW w:w="1334" w:type="dxa"/>
                  <w:tcBorders>
                    <w:top w:val="single" w:sz="4" w:space="0" w:color="auto"/>
                    <w:bottom w:val="single" w:sz="4" w:space="0" w:color="auto"/>
                    <w:right w:val="single" w:sz="4" w:space="0" w:color="auto"/>
                  </w:tcBorders>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Абсолютное отклонение</w:t>
                  </w:r>
                </w:p>
              </w:tc>
              <w:tc>
                <w:tcPr>
                  <w:tcW w:w="1559" w:type="dxa"/>
                  <w:tcBorders>
                    <w:top w:val="single" w:sz="4" w:space="0" w:color="auto"/>
                    <w:bottom w:val="single" w:sz="4" w:space="0" w:color="auto"/>
                    <w:right w:val="single" w:sz="4" w:space="0" w:color="auto"/>
                  </w:tcBorders>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 xml:space="preserve">Относительное отклонение </w:t>
                  </w:r>
                </w:p>
              </w:tc>
              <w:tc>
                <w:tcPr>
                  <w:tcW w:w="1000" w:type="dxa"/>
                  <w:tcBorders>
                    <w:top w:val="single" w:sz="4" w:space="0" w:color="auto"/>
                    <w:bottom w:val="single" w:sz="4" w:space="0" w:color="auto"/>
                    <w:right w:val="single" w:sz="4" w:space="0" w:color="auto"/>
                  </w:tcBorders>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Доля в общем объеме за 2024 год</w:t>
                  </w:r>
                </w:p>
              </w:tc>
            </w:tr>
            <w:tr w:rsidR="00855F0A" w:rsidRPr="00855F0A" w:rsidTr="00855F0A">
              <w:trPr>
                <w:trHeight w:val="300"/>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855F0A" w:rsidRPr="00855F0A" w:rsidRDefault="00855F0A" w:rsidP="003825AD">
                  <w:pPr>
                    <w:widowControl/>
                    <w:autoSpaceDE/>
                    <w:autoSpaceDN/>
                    <w:adjustRightInd/>
                    <w:spacing w:before="0" w:after="0"/>
                    <w:rPr>
                      <w:b/>
                      <w:bCs/>
                      <w:color w:val="000000"/>
                      <w:sz w:val="18"/>
                      <w:szCs w:val="18"/>
                    </w:rPr>
                  </w:pPr>
                </w:p>
              </w:tc>
              <w:tc>
                <w:tcPr>
                  <w:tcW w:w="1166" w:type="dxa"/>
                  <w:tcBorders>
                    <w:bottom w:val="single" w:sz="4" w:space="0" w:color="auto"/>
                    <w:right w:val="single" w:sz="4" w:space="0" w:color="auto"/>
                  </w:tcBorders>
                  <w:noWrap/>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млн. руб.</w:t>
                  </w:r>
                </w:p>
              </w:tc>
              <w:tc>
                <w:tcPr>
                  <w:tcW w:w="1074" w:type="dxa"/>
                  <w:tcBorders>
                    <w:bottom w:val="single" w:sz="4" w:space="0" w:color="auto"/>
                    <w:right w:val="single" w:sz="4" w:space="0" w:color="auto"/>
                  </w:tcBorders>
                  <w:noWrap/>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млн. руб.</w:t>
                  </w:r>
                </w:p>
              </w:tc>
              <w:tc>
                <w:tcPr>
                  <w:tcW w:w="1334" w:type="dxa"/>
                  <w:tcBorders>
                    <w:bottom w:val="single" w:sz="4" w:space="0" w:color="auto"/>
                    <w:right w:val="single" w:sz="4" w:space="0" w:color="auto"/>
                  </w:tcBorders>
                  <w:noWrap/>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млн. руб.</w:t>
                  </w:r>
                </w:p>
              </w:tc>
              <w:tc>
                <w:tcPr>
                  <w:tcW w:w="1559" w:type="dxa"/>
                  <w:tcBorders>
                    <w:bottom w:val="single" w:sz="4" w:space="0" w:color="auto"/>
                    <w:right w:val="single" w:sz="4" w:space="0" w:color="auto"/>
                  </w:tcBorders>
                  <w:noWrap/>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w:t>
                  </w:r>
                </w:p>
              </w:tc>
              <w:tc>
                <w:tcPr>
                  <w:tcW w:w="1000" w:type="dxa"/>
                  <w:tcBorders>
                    <w:bottom w:val="single" w:sz="4" w:space="0" w:color="auto"/>
                    <w:right w:val="single" w:sz="4" w:space="0" w:color="auto"/>
                  </w:tcBorders>
                  <w:noWrap/>
                  <w:vAlign w:val="center"/>
                  <w:hideMark/>
                </w:tcPr>
                <w:p w:rsidR="00855F0A" w:rsidRPr="00855F0A" w:rsidRDefault="00855F0A" w:rsidP="003825AD">
                  <w:pPr>
                    <w:widowControl/>
                    <w:autoSpaceDE/>
                    <w:autoSpaceDN/>
                    <w:adjustRightInd/>
                    <w:spacing w:before="0" w:after="0"/>
                    <w:jc w:val="center"/>
                    <w:rPr>
                      <w:b/>
                      <w:bCs/>
                      <w:color w:val="000000"/>
                      <w:sz w:val="18"/>
                      <w:szCs w:val="18"/>
                    </w:rPr>
                  </w:pPr>
                  <w:r w:rsidRPr="00855F0A">
                    <w:rPr>
                      <w:b/>
                      <w:bCs/>
                      <w:color w:val="000000"/>
                      <w:sz w:val="18"/>
                      <w:szCs w:val="18"/>
                    </w:rPr>
                    <w:t>%</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1. Промышленность</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2 351,6</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2 666,3</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314,7</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13,4</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27,3</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2. Бюджет</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1 026,9</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1 174,8</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147,9</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14,4</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12,0</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3. Прочие отрасли</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2 248,7</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2 508,4</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259,7</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11,5</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25,7</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4. Население</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1 340,5</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1 476,3</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135,8</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10,1</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15,1</w:t>
                  </w:r>
                </w:p>
              </w:tc>
            </w:tr>
            <w:tr w:rsidR="00855F0A" w:rsidRPr="00855F0A" w:rsidTr="00855F0A">
              <w:trPr>
                <w:trHeight w:val="495"/>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5. Потребители, приравненные к населению</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12,8</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13,6</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0,8</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6,2</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0,1</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6.1. ЭСО</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569,6</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519,0</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-50,6</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-8,9</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5,3</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6.2. Управляющие компании, ТСЖ</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110,1</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98,2</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-11,9</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-10,8</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1,0</w:t>
                  </w:r>
                </w:p>
              </w:tc>
            </w:tr>
            <w:tr w:rsidR="00855F0A" w:rsidRPr="00855F0A" w:rsidTr="00855F0A">
              <w:trPr>
                <w:trHeight w:val="495"/>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6.3. Водопроводно-канализационное хозяйство</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260,9</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299,0</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38,1</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14,6</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3,1</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6.4. Прочие ЖКХ</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64,0</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70,7</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6,7</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10,5</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0,7</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bCs/>
                      <w:color w:val="000000"/>
                      <w:sz w:val="18"/>
                      <w:szCs w:val="18"/>
                    </w:rPr>
                  </w:pPr>
                  <w:r w:rsidRPr="00855F0A">
                    <w:rPr>
                      <w:b/>
                      <w:bCs/>
                      <w:color w:val="000000"/>
                      <w:sz w:val="18"/>
                      <w:szCs w:val="18"/>
                    </w:rPr>
                    <w:t>Итого</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7 985,1</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8 826,3</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841,2</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10,5</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90,4</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color w:val="000000"/>
                      <w:sz w:val="18"/>
                      <w:szCs w:val="18"/>
                    </w:rPr>
                  </w:pPr>
                  <w:r w:rsidRPr="00855F0A">
                    <w:rPr>
                      <w:b/>
                      <w:color w:val="000000"/>
                      <w:sz w:val="18"/>
                      <w:szCs w:val="18"/>
                    </w:rPr>
                    <w:t>Потери ТСО</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934,4</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935,2</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0,8</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0,1</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color w:val="000000"/>
                      <w:sz w:val="18"/>
                      <w:szCs w:val="18"/>
                    </w:rPr>
                  </w:pPr>
                  <w:r w:rsidRPr="00855F0A">
                    <w:rPr>
                      <w:b/>
                      <w:color w:val="000000"/>
                      <w:sz w:val="18"/>
                      <w:szCs w:val="18"/>
                    </w:rPr>
                    <w:t>9,6</w:t>
                  </w:r>
                </w:p>
              </w:tc>
            </w:tr>
            <w:tr w:rsidR="00855F0A" w:rsidRPr="00855F0A" w:rsidTr="00855F0A">
              <w:trPr>
                <w:trHeight w:val="300"/>
              </w:trPr>
              <w:tc>
                <w:tcPr>
                  <w:tcW w:w="2700" w:type="dxa"/>
                  <w:tcBorders>
                    <w:left w:val="single" w:sz="4" w:space="0" w:color="auto"/>
                    <w:bottom w:val="single" w:sz="4" w:space="0" w:color="auto"/>
                    <w:right w:val="single" w:sz="4" w:space="0" w:color="auto"/>
                  </w:tcBorders>
                  <w:vAlign w:val="bottom"/>
                  <w:hideMark/>
                </w:tcPr>
                <w:p w:rsidR="00855F0A" w:rsidRPr="00855F0A" w:rsidRDefault="00855F0A" w:rsidP="003825AD">
                  <w:pPr>
                    <w:widowControl/>
                    <w:autoSpaceDE/>
                    <w:autoSpaceDN/>
                    <w:adjustRightInd/>
                    <w:spacing w:before="0" w:after="0"/>
                    <w:rPr>
                      <w:b/>
                      <w:bCs/>
                      <w:color w:val="000000"/>
                      <w:sz w:val="18"/>
                      <w:szCs w:val="18"/>
                    </w:rPr>
                  </w:pPr>
                  <w:r w:rsidRPr="00855F0A">
                    <w:rPr>
                      <w:b/>
                      <w:bCs/>
                      <w:color w:val="000000"/>
                      <w:sz w:val="18"/>
                      <w:szCs w:val="18"/>
                    </w:rPr>
                    <w:t xml:space="preserve">Всего товарная продукция </w:t>
                  </w:r>
                </w:p>
              </w:tc>
              <w:tc>
                <w:tcPr>
                  <w:tcW w:w="1166"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8 919,5</w:t>
                  </w:r>
                </w:p>
              </w:tc>
              <w:tc>
                <w:tcPr>
                  <w:tcW w:w="107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9 761,5</w:t>
                  </w:r>
                </w:p>
              </w:tc>
              <w:tc>
                <w:tcPr>
                  <w:tcW w:w="1334"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842,0</w:t>
                  </w:r>
                </w:p>
              </w:tc>
              <w:tc>
                <w:tcPr>
                  <w:tcW w:w="1559"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9,4</w:t>
                  </w:r>
                </w:p>
              </w:tc>
              <w:tc>
                <w:tcPr>
                  <w:tcW w:w="1000" w:type="dxa"/>
                  <w:tcBorders>
                    <w:bottom w:val="single" w:sz="4" w:space="0" w:color="auto"/>
                    <w:right w:val="single" w:sz="4" w:space="0" w:color="auto"/>
                  </w:tcBorders>
                  <w:noWrap/>
                  <w:vAlign w:val="bottom"/>
                </w:tcPr>
                <w:p w:rsidR="00855F0A" w:rsidRPr="00855F0A" w:rsidRDefault="00855F0A" w:rsidP="003825AD">
                  <w:pPr>
                    <w:widowControl/>
                    <w:autoSpaceDE/>
                    <w:autoSpaceDN/>
                    <w:adjustRightInd/>
                    <w:spacing w:before="0" w:after="0"/>
                    <w:jc w:val="right"/>
                    <w:rPr>
                      <w:b/>
                      <w:bCs/>
                      <w:color w:val="000000"/>
                      <w:sz w:val="18"/>
                      <w:szCs w:val="18"/>
                    </w:rPr>
                  </w:pPr>
                  <w:r w:rsidRPr="00855F0A">
                    <w:rPr>
                      <w:b/>
                      <w:bCs/>
                      <w:color w:val="000000"/>
                      <w:sz w:val="18"/>
                      <w:szCs w:val="18"/>
                    </w:rPr>
                    <w:t>100,0</w:t>
                  </w:r>
                </w:p>
              </w:tc>
            </w:tr>
          </w:tbl>
          <w:p w:rsidR="00855F0A" w:rsidRPr="00855F0A" w:rsidRDefault="00855F0A" w:rsidP="003825AD">
            <w:pPr>
              <w:widowControl/>
              <w:autoSpaceDE/>
              <w:autoSpaceDN/>
              <w:adjustRightInd/>
              <w:spacing w:before="0" w:after="0"/>
              <w:jc w:val="center"/>
              <w:rPr>
                <w:rFonts w:ascii="Calibri" w:hAnsi="Calibri" w:cs="Calibri"/>
                <w:b/>
                <w:bCs/>
                <w:color w:val="000000"/>
                <w:sz w:val="22"/>
                <w:szCs w:val="22"/>
                <w:highlight w:val="yellow"/>
              </w:rPr>
            </w:pPr>
          </w:p>
          <w:p w:rsidR="00855F0A" w:rsidRPr="00FE2DF0" w:rsidRDefault="00855F0A" w:rsidP="003825AD">
            <w:pPr>
              <w:jc w:val="both"/>
              <w:rPr>
                <w:rStyle w:val="Subst"/>
                <w:bCs/>
                <w:iCs/>
              </w:rPr>
            </w:pPr>
            <w:r w:rsidRPr="00FE2DF0">
              <w:rPr>
                <w:b/>
                <w:i/>
              </w:rPr>
              <w:t xml:space="preserve">Доля промышленных потребителей за 2024 год в </w:t>
            </w:r>
            <w:r w:rsidRPr="00FE2DF0">
              <w:rPr>
                <w:rStyle w:val="Subst"/>
                <w:bCs/>
                <w:iCs/>
              </w:rPr>
              <w:t>общем объеме товарной продукции возросла на 0,9% при росте объема товарной продукции по промышленным потребителям в текущем году на 13,4%.</w:t>
            </w:r>
          </w:p>
          <w:p w:rsidR="00855F0A" w:rsidRPr="00FE2DF0" w:rsidRDefault="00855F0A" w:rsidP="003825AD">
            <w:pPr>
              <w:jc w:val="both"/>
              <w:rPr>
                <w:rStyle w:val="Subst"/>
                <w:bCs/>
                <w:iCs/>
              </w:rPr>
            </w:pPr>
            <w:r w:rsidRPr="00FE2DF0">
              <w:rPr>
                <w:rStyle w:val="Subst"/>
                <w:bCs/>
                <w:iCs/>
              </w:rPr>
              <w:t>По всем основным отраслям промышленности в 2024 года отмечается рост объема товарной продукции – машиностроение (+16,7 млн. руб.), химическая (+23,7 млн. руб.), пищевая (+116,5 млн. руб.), производство строительных материалов (+9,6 млн. руб.), другие промышленные производства (+148,2 млн. руб.).</w:t>
            </w:r>
          </w:p>
          <w:p w:rsidR="00855F0A" w:rsidRPr="00FE2DF0" w:rsidRDefault="00855F0A" w:rsidP="003825AD">
            <w:pPr>
              <w:jc w:val="both"/>
              <w:rPr>
                <w:rStyle w:val="Subst"/>
                <w:bCs/>
                <w:iCs/>
              </w:rPr>
            </w:pPr>
            <w:r w:rsidRPr="00FE2DF0">
              <w:rPr>
                <w:rStyle w:val="Subst"/>
                <w:bCs/>
                <w:iCs/>
              </w:rPr>
              <w:t>Относительно 2023 года доля бюджетных организаций всех уровней бюджета изменилась незначительно (+0,5%) и составила 12,0% от всего объема товарной продукции, при этом прирост товарной продукции относительно предыдущего года по всем бюджетным потребителям за 2024 год составил 14,4%.</w:t>
            </w:r>
          </w:p>
          <w:p w:rsidR="00855F0A" w:rsidRPr="00FE2DF0" w:rsidRDefault="00855F0A" w:rsidP="003825AD">
            <w:pPr>
              <w:jc w:val="both"/>
              <w:rPr>
                <w:rStyle w:val="Subst"/>
                <w:bCs/>
                <w:iCs/>
              </w:rPr>
            </w:pPr>
            <w:r w:rsidRPr="00FE2DF0">
              <w:rPr>
                <w:rStyle w:val="Subst"/>
                <w:bCs/>
                <w:iCs/>
              </w:rPr>
              <w:t xml:space="preserve">Прирост объема товарной продукции обусловлен ростом стоимостного объема потребления организациями, финансируемыми из федерального бюджета на 67,2 млн. руб., республиканского  - </w:t>
            </w:r>
            <w:r w:rsidRPr="00FE2DF0">
              <w:rPr>
                <w:rStyle w:val="Subst"/>
                <w:bCs/>
                <w:iCs/>
              </w:rPr>
              <w:lastRenderedPageBreak/>
              <w:t>на 52,4 млн. руб. и местного бюджета - на 28,3 млн. руб., в том числе учреждениями здравоохранения – 9,2 млн. руб., образования (школ, дошкольных и высших учебных учреждений) – 36,6 млн. руб., Минобороны – 28,3 млн. руб., Минспорта – 22,5 млн. руб., администрациями городских и сельских поселений муниципальных районов республики – 11,4 млн. руб.</w:t>
            </w:r>
          </w:p>
          <w:p w:rsidR="00855F0A" w:rsidRPr="00FE2DF0" w:rsidRDefault="00855F0A" w:rsidP="003825AD">
            <w:pPr>
              <w:jc w:val="both"/>
              <w:rPr>
                <w:rStyle w:val="Subst"/>
                <w:bCs/>
                <w:iCs/>
              </w:rPr>
            </w:pPr>
            <w:r w:rsidRPr="00FE2DF0">
              <w:rPr>
                <w:rStyle w:val="Subst"/>
                <w:bCs/>
                <w:iCs/>
              </w:rPr>
              <w:t>В общем объеме товарной продукции за 2024 год доля «Население» относительно прошлого года выросла на 0,1%, при росте объема товарной продукции на 10,1% (+135,8 млн. руб.).</w:t>
            </w:r>
          </w:p>
          <w:p w:rsidR="00855F0A" w:rsidRPr="00FE2DF0" w:rsidRDefault="00855F0A" w:rsidP="003825AD">
            <w:pPr>
              <w:jc w:val="both"/>
              <w:rPr>
                <w:rStyle w:val="Subst"/>
                <w:bCs/>
                <w:iCs/>
              </w:rPr>
            </w:pPr>
            <w:r w:rsidRPr="00FE2DF0">
              <w:rPr>
                <w:rStyle w:val="Subst"/>
                <w:bCs/>
                <w:iCs/>
              </w:rPr>
              <w:t xml:space="preserve">В 2024 году продолжен перевод на прямые расчеты с гарантирующим поставщиком абонентов, проживающих в МКД и ранее осуществлявших расчеты с управляющими компаниями (от управляющих компаний за год перешли 4 299 абонента). Доля объема товарной продукции управляющих </w:t>
            </w:r>
            <w:r w:rsidR="001352F5">
              <w:rPr>
                <w:rStyle w:val="Subst"/>
                <w:bCs/>
                <w:iCs/>
              </w:rPr>
              <w:t xml:space="preserve">компаний </w:t>
            </w:r>
            <w:r w:rsidRPr="00FE2DF0">
              <w:rPr>
                <w:rStyle w:val="Subst"/>
                <w:bCs/>
                <w:iCs/>
              </w:rPr>
              <w:t>сократилась на 0,2% (с 1,2% в 2023 году до 1,0% в 2024 году).</w:t>
            </w:r>
          </w:p>
          <w:p w:rsidR="00855F0A" w:rsidRPr="00FE2DF0" w:rsidRDefault="00855F0A" w:rsidP="003825AD">
            <w:pPr>
              <w:jc w:val="both"/>
              <w:rPr>
                <w:rStyle w:val="Subst"/>
                <w:bCs/>
                <w:iCs/>
              </w:rPr>
            </w:pPr>
            <w:r w:rsidRPr="00FE2DF0">
              <w:rPr>
                <w:rStyle w:val="Subst"/>
                <w:bCs/>
                <w:iCs/>
              </w:rPr>
              <w:t>За 2024 год в структуре товарной продукции продолжилось снижение доли энергосбытовых организаций (-1,1%), при снижении объема товарной продукции по данной группе за 2024 год на 8,9%.</w:t>
            </w:r>
          </w:p>
          <w:p w:rsidR="00855F0A" w:rsidRPr="00FE2DF0" w:rsidRDefault="00855F0A" w:rsidP="003825AD">
            <w:pPr>
              <w:jc w:val="both"/>
              <w:rPr>
                <w:rStyle w:val="Subst"/>
                <w:bCs/>
                <w:iCs/>
              </w:rPr>
            </w:pPr>
            <w:r w:rsidRPr="00FE2DF0">
              <w:rPr>
                <w:rStyle w:val="Subst"/>
                <w:bCs/>
                <w:iCs/>
              </w:rPr>
              <w:t>На изменение в объеме товарной продукции энергосбытовых организаций оказали влияние:</w:t>
            </w:r>
            <w:r w:rsidRPr="00FE2DF0">
              <w:rPr>
                <w:rStyle w:val="Subst"/>
                <w:bCs/>
                <w:iCs/>
              </w:rPr>
              <w:br/>
              <w:t>- сокращение объема покупки электрической энергии от гарантирующего поставщика в связи с выходом потребителей энергосбытовых компаний на оптовый рынок (-85,0 млн. руб.);</w:t>
            </w:r>
          </w:p>
          <w:p w:rsidR="00855F0A" w:rsidRPr="00FE2DF0" w:rsidRDefault="00855F0A" w:rsidP="003825AD">
            <w:pPr>
              <w:jc w:val="both"/>
              <w:rPr>
                <w:rStyle w:val="Subst"/>
                <w:bCs/>
                <w:iCs/>
              </w:rPr>
            </w:pPr>
            <w:r w:rsidRPr="00FE2DF0">
              <w:rPr>
                <w:rStyle w:val="Subst"/>
                <w:bCs/>
                <w:iCs/>
              </w:rPr>
              <w:t xml:space="preserve"> - расторжение энергоснабжающей организацией договора на энергоснабжение с гарантирующим поставщиком (-18,6 млн. руб.); </w:t>
            </w:r>
          </w:p>
          <w:p w:rsidR="00855F0A" w:rsidRPr="00FE2DF0" w:rsidRDefault="00855F0A" w:rsidP="003825AD">
            <w:pPr>
              <w:jc w:val="both"/>
              <w:rPr>
                <w:rStyle w:val="Subst"/>
                <w:bCs/>
                <w:iCs/>
              </w:rPr>
            </w:pPr>
            <w:r w:rsidRPr="00FE2DF0">
              <w:rPr>
                <w:rStyle w:val="Subst"/>
                <w:bCs/>
                <w:iCs/>
              </w:rPr>
              <w:t>- сокращения использования потребителем собственной генерации электроэнергии (+33,2 млн. руб.);</w:t>
            </w:r>
          </w:p>
          <w:p w:rsidR="00855F0A" w:rsidRPr="00FE2DF0" w:rsidRDefault="00855F0A" w:rsidP="003825AD">
            <w:pPr>
              <w:jc w:val="both"/>
              <w:rPr>
                <w:rStyle w:val="Subst"/>
                <w:bCs/>
                <w:iCs/>
              </w:rPr>
            </w:pPr>
            <w:r w:rsidRPr="00FE2DF0">
              <w:rPr>
                <w:rStyle w:val="Subst"/>
                <w:bCs/>
                <w:iCs/>
              </w:rPr>
              <w:t>- заключение договоров с новыми энергосбытовыми организациями (+2,4 млн. руб.).</w:t>
            </w:r>
          </w:p>
          <w:p w:rsidR="00855F0A" w:rsidRPr="00855F0A" w:rsidRDefault="00855F0A" w:rsidP="003825AD">
            <w:pPr>
              <w:jc w:val="both"/>
              <w:rPr>
                <w:rFonts w:ascii="Calibri" w:hAnsi="Calibri" w:cs="Calibri"/>
                <w:b/>
                <w:bCs/>
                <w:color w:val="000000"/>
                <w:sz w:val="22"/>
                <w:szCs w:val="22"/>
              </w:rPr>
            </w:pPr>
            <w:r w:rsidRPr="00FE2DF0">
              <w:rPr>
                <w:rStyle w:val="Subst"/>
                <w:bCs/>
                <w:iCs/>
              </w:rPr>
              <w:t xml:space="preserve">Доля «Прочих потребителей» в общем объеме товарной продукции незначительно выросла (+0,5%), при росте объема товарной продукции по данной группе потребителей относительно предыдущего года на 11,5% (+259,7 </w:t>
            </w:r>
            <w:proofErr w:type="spellStart"/>
            <w:r w:rsidRPr="00FE2DF0">
              <w:rPr>
                <w:rStyle w:val="Subst"/>
                <w:bCs/>
                <w:iCs/>
              </w:rPr>
              <w:t>млн.руб</w:t>
            </w:r>
            <w:proofErr w:type="spellEnd"/>
            <w:r w:rsidRPr="00FE2DF0">
              <w:rPr>
                <w:rStyle w:val="Subst"/>
                <w:bCs/>
                <w:iCs/>
              </w:rPr>
              <w:t>.). Рост объема товарной продукции отмечается в отношении потребителей, относящихся к сфере «Транспорт и связь» (+27,5 млн. руб.), «Строительство» (+15,8 млн. руб.). Объем товарной продукции сельскохозяйственных товаропроизводителей вырос за 2024 год на 44,4 млн. руб.</w:t>
            </w:r>
            <w:r w:rsidRPr="00855F0A">
              <w:rPr>
                <w:rStyle w:val="Subst"/>
                <w:bCs/>
                <w:iCs/>
              </w:rPr>
              <w:t xml:space="preserve"> </w:t>
            </w:r>
          </w:p>
        </w:tc>
      </w:tr>
    </w:tbl>
    <w:p w:rsidR="0076611B" w:rsidRDefault="0076611B" w:rsidP="00E223A1">
      <w:pPr>
        <w:ind w:left="200"/>
        <w:jc w:val="both"/>
      </w:pPr>
      <w:r w:rsidRPr="00855F0A">
        <w:rPr>
          <w:rStyle w:val="Subst"/>
          <w:bCs/>
          <w:iCs/>
        </w:rPr>
        <w:lastRenderedPageBreak/>
        <w:br/>
      </w:r>
      <w:r>
        <w:rPr>
          <w:rStyle w:val="Subst"/>
          <w:bCs/>
          <w:iCs/>
        </w:rPr>
        <w:t>Доля эмитента в объеме реализации аналогичной продукции иными предприятиями отрасли или иные фактические показатели, характеризующие положение эмитента в отрасли в целом.</w:t>
      </w:r>
      <w:r>
        <w:rPr>
          <w:rStyle w:val="Subst"/>
          <w:bCs/>
          <w:iCs/>
        </w:rPr>
        <w:br/>
        <w:t>ПАО «Мордовская энергосбытовая компания», как компания, обладающая статусом гарантирующего поставщика на территории Республики Мордовия, занимает лидирующие позиции на региональ</w:t>
      </w:r>
      <w:r w:rsidR="00FE2DF0">
        <w:rPr>
          <w:rStyle w:val="Subst"/>
          <w:bCs/>
          <w:iCs/>
        </w:rPr>
        <w:t>ном рынке электроэнергии - 45,3</w:t>
      </w:r>
      <w:r>
        <w:rPr>
          <w:rStyle w:val="Subst"/>
          <w:bCs/>
          <w:iCs/>
        </w:rPr>
        <w:t>%. ПАО «Мордовская энергосбытовая компания» играет значительную роль в социально-экономическом развитии региона, являясь одним из основных поставщиком электрической энергии для населения (потребителей – граждан и приравненных к ним потребителей), бюджетных потребителей, а также крупных промышленных предприятий региона. Обществом ведется активная работа по расширению территории присутствия за пределами республики. Так, в 2024 г. ПАО «Мордовская энергосбытовая компания» осуществляло энергоснабжение потребителей в 5 регионах России как независимая энергосбытовая компания.</w:t>
      </w:r>
      <w:r>
        <w:rPr>
          <w:rStyle w:val="Subst"/>
          <w:bCs/>
          <w:iCs/>
        </w:rPr>
        <w:br/>
      </w:r>
      <w:r>
        <w:rPr>
          <w:rStyle w:val="Subst"/>
          <w:bCs/>
          <w:iCs/>
        </w:rPr>
        <w:br/>
        <w:t xml:space="preserve">Оценка соответствия результатов деятельности эмитента тенденциям развития отрасли: </w:t>
      </w:r>
      <w:r>
        <w:rPr>
          <w:rStyle w:val="Subst"/>
          <w:bCs/>
          <w:iCs/>
        </w:rPr>
        <w:br/>
        <w:t>Результаты деятельности ПАО «Мордовская энергосбытовая компания» в отрасли оцениваются как удовлетворительные и соответствующие тенденциям развития отрасли.</w:t>
      </w:r>
      <w:r>
        <w:rPr>
          <w:rStyle w:val="Subst"/>
          <w:bCs/>
          <w:iCs/>
        </w:rPr>
        <w:br/>
      </w:r>
      <w:r>
        <w:rPr>
          <w:rStyle w:val="Subst"/>
          <w:bCs/>
          <w:iCs/>
        </w:rPr>
        <w:br/>
        <w:t xml:space="preserve">Причины, обосновывающие полученные результаты деятельности (удовлетворительные и неудовлетворительные, по мнению эмитента, результаты): </w:t>
      </w:r>
      <w:r>
        <w:rPr>
          <w:rStyle w:val="Subst"/>
          <w:bCs/>
          <w:iCs/>
        </w:rPr>
        <w:br/>
        <w:t>Основными причинами полученных результатов деятельности являются эффективная деятельность ПАО «Мордовская энергосбытовая компания» на оптовом и розничном рынках электроэнергии и мощности, эффективное управление издержками, оптимальная организация труда.</w:t>
      </w:r>
      <w:r>
        <w:rPr>
          <w:rStyle w:val="Subst"/>
          <w:bCs/>
          <w:iCs/>
        </w:rPr>
        <w:br/>
      </w:r>
      <w:r>
        <w:rPr>
          <w:rStyle w:val="Subst"/>
          <w:bCs/>
          <w:iCs/>
        </w:rPr>
        <w:br/>
        <w:t>Сведения об основных конкурентах эмитента (группы эмитента), сопоставляются сильные и слабые стороны эмитента (группы эмитента) в сравнении с ними:</w:t>
      </w:r>
      <w:r>
        <w:rPr>
          <w:rStyle w:val="Subst"/>
          <w:bCs/>
          <w:iCs/>
        </w:rPr>
        <w:br/>
        <w:t xml:space="preserve">Законодательство в сфере электроэнергетики предполагает конкуренцию на розничном рынке электрической энергии. Кроме того, потребителям предоставлено право выхода на оптовый рынок электрической энергии и мощности. В связи с чем в структуре регионального рынка электрической энергии происходят постоянное изменения - меняется субъектный состав и доли его участников. </w:t>
      </w:r>
      <w:r>
        <w:rPr>
          <w:rStyle w:val="Subst"/>
          <w:bCs/>
          <w:iCs/>
        </w:rPr>
        <w:br/>
        <w:t xml:space="preserve">Конкурентоспособность Общества на рынке электрической энергии определяется следующими </w:t>
      </w:r>
      <w:r>
        <w:rPr>
          <w:rStyle w:val="Subst"/>
          <w:bCs/>
          <w:iCs/>
        </w:rPr>
        <w:lastRenderedPageBreak/>
        <w:t>основными факторами:</w:t>
      </w:r>
      <w:r>
        <w:rPr>
          <w:rStyle w:val="Subst"/>
          <w:bCs/>
          <w:iCs/>
        </w:rPr>
        <w:br/>
        <w:t>- ценой;</w:t>
      </w:r>
      <w:r>
        <w:rPr>
          <w:rStyle w:val="Subst"/>
          <w:bCs/>
          <w:iCs/>
        </w:rPr>
        <w:br/>
        <w:t>- качеством обслуживания клиентов;</w:t>
      </w:r>
      <w:r>
        <w:rPr>
          <w:rStyle w:val="Subst"/>
          <w:bCs/>
          <w:iCs/>
        </w:rPr>
        <w:br/>
        <w:t>- ассортиментом и условиями предоставления дополните</w:t>
      </w:r>
      <w:r w:rsidR="00FE7D4C">
        <w:rPr>
          <w:rStyle w:val="Subst"/>
          <w:bCs/>
          <w:iCs/>
        </w:rPr>
        <w:t>льных услуг по энергоснабжению.</w:t>
      </w:r>
      <w:r>
        <w:rPr>
          <w:rStyle w:val="Subst"/>
          <w:bCs/>
          <w:iCs/>
        </w:rPr>
        <w:br/>
        <w:t>Конкурентное окружение ПАО «Мордовская энергосбытовая компания» в регионе составляют главным образом энергосбытовые компании, имеющие статус гарантирующего поставщика, и независимые энергосбытовые компании – субъекты оптового рынка электроэнергии:</w:t>
      </w:r>
      <w:r>
        <w:rPr>
          <w:rStyle w:val="Subst"/>
          <w:bCs/>
          <w:iCs/>
        </w:rPr>
        <w:br/>
        <w:t>- ООО «ЕЭС Гарант», ООО «МАРЭМ+», ООО «Симбирская энергосбытовая компания», ООО  «Мордовская энергетическая компания», ООО «</w:t>
      </w:r>
      <w:proofErr w:type="spellStart"/>
      <w:r>
        <w:rPr>
          <w:rStyle w:val="Subst"/>
          <w:bCs/>
          <w:iCs/>
        </w:rPr>
        <w:t>МагнитЭнерго</w:t>
      </w:r>
      <w:proofErr w:type="spellEnd"/>
      <w:r>
        <w:rPr>
          <w:rStyle w:val="Subst"/>
          <w:bCs/>
          <w:iCs/>
        </w:rPr>
        <w:t>», ООО «РН-Энерго», ООО  «</w:t>
      </w:r>
      <w:proofErr w:type="spellStart"/>
      <w:r>
        <w:rPr>
          <w:rStyle w:val="Subst"/>
          <w:bCs/>
          <w:iCs/>
        </w:rPr>
        <w:t>РегионЭнергоСбыт</w:t>
      </w:r>
      <w:proofErr w:type="spellEnd"/>
      <w:r>
        <w:rPr>
          <w:rStyle w:val="Subst"/>
          <w:bCs/>
          <w:iCs/>
        </w:rPr>
        <w:t>», ООО «ОПТЭС», ООО «</w:t>
      </w:r>
      <w:proofErr w:type="spellStart"/>
      <w:r>
        <w:rPr>
          <w:rStyle w:val="Subst"/>
          <w:bCs/>
          <w:iCs/>
        </w:rPr>
        <w:t>Горсветэлектросбыт</w:t>
      </w:r>
      <w:proofErr w:type="spellEnd"/>
      <w:r>
        <w:rPr>
          <w:rStyle w:val="Subst"/>
          <w:bCs/>
          <w:iCs/>
        </w:rPr>
        <w:t>», ООО «Энергосбыт», ООО  «</w:t>
      </w:r>
      <w:proofErr w:type="spellStart"/>
      <w:r>
        <w:rPr>
          <w:rStyle w:val="Subst"/>
          <w:bCs/>
          <w:iCs/>
        </w:rPr>
        <w:t>Русэнергосбыт</w:t>
      </w:r>
      <w:proofErr w:type="spellEnd"/>
      <w:r>
        <w:rPr>
          <w:rStyle w:val="Subst"/>
          <w:bCs/>
          <w:iCs/>
        </w:rPr>
        <w:t>», ООО «</w:t>
      </w:r>
      <w:proofErr w:type="spellStart"/>
      <w:r>
        <w:rPr>
          <w:rStyle w:val="Subst"/>
          <w:bCs/>
          <w:iCs/>
        </w:rPr>
        <w:t>ПрофСервисТрейд</w:t>
      </w:r>
      <w:proofErr w:type="spellEnd"/>
      <w:r>
        <w:rPr>
          <w:rStyle w:val="Subst"/>
          <w:bCs/>
          <w:iCs/>
        </w:rPr>
        <w:t>», АО «Газпром энергосбыт», ООО «Новая энергетическая компания», ООО «Чистая энергия сбыт», ООО «МТС-ЭНЕРГО», ООО «МСК-энерго» ООО «СИМ-ЭНЕРГО.</w:t>
      </w:r>
      <w:r>
        <w:rPr>
          <w:rStyle w:val="Subst"/>
          <w:bCs/>
          <w:iCs/>
        </w:rPr>
        <w:br/>
        <w:t>Конкуренцию ПАО «Мордовская энергосбытовая компания» создают и крупные предприятия, входящие в холдинговые корпорации предприятий розничного рынка, которые предоставляют потребителям Общества возможность для самостоятельной покупки электроэнергии на оптовом рынке, либо ее покупки у холдинговой энергосбытовой компании.</w:t>
      </w:r>
      <w:r>
        <w:rPr>
          <w:rStyle w:val="Subst"/>
          <w:bCs/>
          <w:iCs/>
        </w:rPr>
        <w:br/>
        <w:t>С целью сохранения лидирующих позиций Обществом большое внимание уделяется детальной проработке стратегии поведения компании, как на оптовом, так и на розничных рынках, планомерно ведутся работы по развитию партнерских отношений с клиентами и совершенствованию качества предоставляемых услуг.</w:t>
      </w:r>
      <w:r>
        <w:rPr>
          <w:rStyle w:val="Subst"/>
          <w:bCs/>
          <w:iCs/>
        </w:rPr>
        <w:br/>
      </w:r>
      <w:r>
        <w:rPr>
          <w:rStyle w:val="Subst"/>
          <w:bCs/>
          <w:iCs/>
        </w:rPr>
        <w:br/>
        <w:t>Сильные стороны эмитента (группы эмитента) в сравнении с конкурентами:</w:t>
      </w:r>
      <w:r>
        <w:rPr>
          <w:rStyle w:val="Subst"/>
          <w:bCs/>
          <w:iCs/>
        </w:rPr>
        <w:br/>
        <w:t>В отношении существующей конкурентной среды Общество обладает рядом преимуществ:</w:t>
      </w:r>
      <w:r>
        <w:rPr>
          <w:rStyle w:val="Subst"/>
          <w:bCs/>
          <w:iCs/>
        </w:rPr>
        <w:br/>
        <w:t>- статус субъекта ОРЭМ;</w:t>
      </w:r>
      <w:r>
        <w:rPr>
          <w:rStyle w:val="Subst"/>
          <w:bCs/>
          <w:iCs/>
        </w:rPr>
        <w:br/>
        <w:t>- наличие договорных отношений с системообразующей сетевой организацией, оказывающей услуги по передаче электрической энергии;</w:t>
      </w:r>
      <w:r>
        <w:rPr>
          <w:rStyle w:val="Subst"/>
          <w:bCs/>
          <w:iCs/>
        </w:rPr>
        <w:br/>
        <w:t>- тесное взаимодействие с иными субъектами оптового и розничного рынков электроэнергии;</w:t>
      </w:r>
      <w:r>
        <w:rPr>
          <w:rStyle w:val="Subst"/>
          <w:bCs/>
          <w:iCs/>
        </w:rPr>
        <w:br/>
        <w:t>- высокая техническая оснащенность и квалифицированный персонал;</w:t>
      </w:r>
      <w:r>
        <w:rPr>
          <w:rStyle w:val="Subst"/>
          <w:bCs/>
          <w:iCs/>
        </w:rPr>
        <w:br/>
        <w:t>- компетентность в сфере законодательства об электроэнергетике;</w:t>
      </w:r>
      <w:r>
        <w:rPr>
          <w:rStyle w:val="Subst"/>
          <w:bCs/>
          <w:iCs/>
        </w:rPr>
        <w:br/>
        <w:t>- эффективная организация обслуживания клиентов;</w:t>
      </w:r>
      <w:r>
        <w:rPr>
          <w:rStyle w:val="Subst"/>
          <w:bCs/>
          <w:iCs/>
        </w:rPr>
        <w:br/>
        <w:t>- положительная деловая репутация;</w:t>
      </w:r>
      <w:r>
        <w:rPr>
          <w:rStyle w:val="Subst"/>
          <w:bCs/>
          <w:iCs/>
        </w:rPr>
        <w:br/>
        <w:t>- высокий опыт работы в условиях постоянно меняющейся законодательной базы.</w:t>
      </w:r>
      <w:r>
        <w:rPr>
          <w:rStyle w:val="Subst"/>
          <w:bCs/>
          <w:iCs/>
        </w:rPr>
        <w:br/>
      </w:r>
      <w:r>
        <w:rPr>
          <w:rStyle w:val="Subst"/>
          <w:bCs/>
          <w:iCs/>
        </w:rPr>
        <w:br/>
        <w:t>Слабые стороны эмитента (группы эмитента) в сравнении с конкурентами:</w:t>
      </w:r>
      <w:r>
        <w:rPr>
          <w:rStyle w:val="Subst"/>
          <w:bCs/>
          <w:iCs/>
        </w:rPr>
        <w:br/>
        <w:t>Гарантирующий поставщик в своей деятельности обременен дополнительными («социальными») задачами, как, например, обязанность заключать договор</w:t>
      </w:r>
      <w:r w:rsidR="008F435C">
        <w:rPr>
          <w:rStyle w:val="Subst"/>
          <w:bCs/>
          <w:iCs/>
        </w:rPr>
        <w:t>ы</w:t>
      </w:r>
      <w:r>
        <w:rPr>
          <w:rStyle w:val="Subst"/>
          <w:bCs/>
          <w:iCs/>
        </w:rPr>
        <w:t xml:space="preserve"> со всеми потребителями в зоне своей деятельности, включая и неплательщиков, обязанность установки интеллектуальных приборов учета в многоквартирных домах и другие. Исходя из этого, Гарантирующий поставщик поставляет электроэнергию для клиентов по утвержденным, регулируемым сбытовым надбавкам, утвержденным региональным регулятором, учитывающим затраты на указанные выше задачи. Независимый же поставщик выбирает платежеспособных контрагентов и заключает с ними договоры на электроснабжение на величину договорной надбавки, не учитывающей затраты на «социальные» задачи, в отличие от гарантирующего поставщика.</w:t>
      </w:r>
      <w:r>
        <w:rPr>
          <w:rStyle w:val="Subst"/>
          <w:bCs/>
          <w:iCs/>
        </w:rPr>
        <w:br/>
        <w:t>Таким образом, одним из главных преимуществ независимых энергосбытовых компаний является возможность снизить цену на электроэнергию для предприятий крупного и среднего бизнеса.</w:t>
      </w:r>
      <w:r>
        <w:rPr>
          <w:rStyle w:val="Subst"/>
          <w:bCs/>
          <w:iCs/>
        </w:rPr>
        <w:br/>
        <w:t>Кроме того, уход потребителя от гарантирующего поставщика и заключение договора с независимым сбытом может быть продиктован интересами управляющей компании или холдинга, в который входит данный потребитель. Более того, зачастую независимая сбытовая компания является дочерней или аффилированной структурой холдинга.</w:t>
      </w:r>
      <w:r>
        <w:rPr>
          <w:rStyle w:val="Subst"/>
          <w:bCs/>
          <w:iCs/>
        </w:rPr>
        <w:br/>
        <w:t>Указанные выше обстоятельства существенно ослабляют позиции гарантирующего поставщика в конкурентной борьбе за потребителя.</w:t>
      </w:r>
    </w:p>
    <w:p w:rsidR="00BC61BC" w:rsidRDefault="00BC61BC" w:rsidP="00E223A1">
      <w:pPr>
        <w:pStyle w:val="2"/>
        <w:jc w:val="both"/>
      </w:pPr>
      <w:bookmarkStart w:id="5" w:name="_Toc196398447"/>
    </w:p>
    <w:p w:rsidR="00BC61BC" w:rsidRDefault="00BC61BC" w:rsidP="00E223A1">
      <w:pPr>
        <w:pStyle w:val="2"/>
        <w:jc w:val="both"/>
      </w:pPr>
    </w:p>
    <w:p w:rsidR="00BC61BC" w:rsidRDefault="00BC61BC" w:rsidP="00E223A1">
      <w:pPr>
        <w:pStyle w:val="2"/>
        <w:jc w:val="both"/>
      </w:pPr>
    </w:p>
    <w:p w:rsidR="00BC61BC" w:rsidRDefault="00BC61BC" w:rsidP="00E223A1">
      <w:pPr>
        <w:pStyle w:val="2"/>
        <w:jc w:val="both"/>
      </w:pPr>
    </w:p>
    <w:p w:rsidR="0076611B" w:rsidRDefault="0076611B" w:rsidP="00E223A1">
      <w:pPr>
        <w:pStyle w:val="2"/>
        <w:jc w:val="both"/>
      </w:pPr>
      <w:r>
        <w:lastRenderedPageBreak/>
        <w:t>1.3. Основные операционные показатели, характеризующие деятельность эмитента</w:t>
      </w:r>
      <w:bookmarkEnd w:id="5"/>
    </w:p>
    <w:p w:rsidR="0076611B" w:rsidRDefault="0076611B" w:rsidP="00E223A1">
      <w:pPr>
        <w:pStyle w:val="SubHeading"/>
        <w:ind w:left="200"/>
        <w:jc w:val="both"/>
      </w:pPr>
      <w:r>
        <w:t>Операционные показатели</w:t>
      </w:r>
    </w:p>
    <w:p w:rsidR="0076611B" w:rsidRDefault="0076611B" w:rsidP="00E223A1">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3732"/>
        <w:gridCol w:w="1820"/>
        <w:gridCol w:w="1820"/>
        <w:gridCol w:w="1880"/>
      </w:tblGrid>
      <w:tr w:rsidR="0076611B">
        <w:tc>
          <w:tcPr>
            <w:tcW w:w="3732"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Единица измерения</w:t>
            </w:r>
          </w:p>
        </w:tc>
        <w:tc>
          <w:tcPr>
            <w:tcW w:w="182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2023, 12 мес.</w:t>
            </w:r>
          </w:p>
        </w:tc>
        <w:tc>
          <w:tcPr>
            <w:tcW w:w="1880"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2024, 12 мес.</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ОБЪЕМ ПОКУПКИ ЭЛЕКТРИЧЕСКОЙ ЭНЕРГИИ</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bookmarkStart w:id="6" w:name="_GoBack"/>
            <w:proofErr w:type="spellStart"/>
            <w:r>
              <w:t>МВтч</w:t>
            </w:r>
            <w:bookmarkEnd w:id="6"/>
            <w:proofErr w:type="spellEnd"/>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1 417 485.2</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1 439 969.6</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в том числе</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объем покупки электрической энергии на розничном рынке</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roofErr w:type="spellStart"/>
            <w:r>
              <w:t>МВтч</w:t>
            </w:r>
            <w:proofErr w:type="spellEnd"/>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27 824.4</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37 572.4</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в т.ч. для энергоснабжения потребителей в иных регионах присутствия</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roofErr w:type="spellStart"/>
            <w:r>
              <w:t>МВтч</w:t>
            </w:r>
            <w:proofErr w:type="spellEnd"/>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1 827.2</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0</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объем потребления электрической энергии на оптовом рынке</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roofErr w:type="spellStart"/>
            <w:r>
              <w:t>МВтч</w:t>
            </w:r>
            <w:proofErr w:type="spellEnd"/>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1 389 660.8</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1 402 397.3</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в т.ч. для энергоснабжения потребителей в иных регионах присутствия</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roofErr w:type="spellStart"/>
            <w:r>
              <w:t>МВтч</w:t>
            </w:r>
            <w:proofErr w:type="spellEnd"/>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39 145.2</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48 893.4</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ОБЪЕМ ПОКУПКИ МОЩНОСТИ</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МВт</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2 255.3</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2 290.7</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в том числе</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объем покупки мощности на розничном рынке</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МВт</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79.2</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110.3</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объем потребления мощности на оптовом рынке</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МВт</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2 176.1</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2 180.3</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в т.ч. для энергоснабжения потребителей в иных регионах присутствия</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МВт</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60.7</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76.2</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ОБЪЕМ ПРОДАЖИ ЭЛЕКТРИЧЕСКОЙ ЭНЕРГИИ</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roofErr w:type="spellStart"/>
            <w:r>
              <w:t>МВтч</w:t>
            </w:r>
            <w:proofErr w:type="spellEnd"/>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1 417 960.7</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1 439 088.8</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в том числе</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продажа электрической энергии потребителям гарантирующего поставщика</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roofErr w:type="spellStart"/>
            <w:r>
              <w:t>МВтч</w:t>
            </w:r>
            <w:proofErr w:type="spellEnd"/>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1 174 609.9</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1 193 511.1</w:t>
            </w:r>
          </w:p>
        </w:tc>
      </w:tr>
      <w:tr w:rsidR="0076611B">
        <w:tc>
          <w:tcPr>
            <w:tcW w:w="37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потери, приобретаемые территориальными сетевыми компаниями</w:t>
            </w:r>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roofErr w:type="spellStart"/>
            <w:r>
              <w:t>МВтч</w:t>
            </w:r>
            <w:proofErr w:type="spellEnd"/>
          </w:p>
        </w:tc>
        <w:tc>
          <w:tcPr>
            <w:tcW w:w="18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202 378.4</w:t>
            </w:r>
          </w:p>
        </w:tc>
        <w:tc>
          <w:tcPr>
            <w:tcW w:w="18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196 683.7</w:t>
            </w:r>
          </w:p>
        </w:tc>
      </w:tr>
      <w:tr w:rsidR="0076611B">
        <w:tc>
          <w:tcPr>
            <w:tcW w:w="37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продажа электрической энергии потребителям в иных регионах присутствия</w:t>
            </w:r>
          </w:p>
        </w:tc>
        <w:tc>
          <w:tcPr>
            <w:tcW w:w="182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proofErr w:type="spellStart"/>
            <w:r>
              <w:t>МВтч</w:t>
            </w:r>
            <w:proofErr w:type="spellEnd"/>
          </w:p>
        </w:tc>
        <w:tc>
          <w:tcPr>
            <w:tcW w:w="182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40 972.4</w:t>
            </w:r>
          </w:p>
        </w:tc>
        <w:tc>
          <w:tcPr>
            <w:tcW w:w="1880"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48 894</w:t>
            </w:r>
          </w:p>
        </w:tc>
      </w:tr>
    </w:tbl>
    <w:p w:rsidR="0076611B" w:rsidRDefault="0076611B" w:rsidP="00E223A1">
      <w:pPr>
        <w:jc w:val="both"/>
      </w:pPr>
    </w:p>
    <w:p w:rsidR="003825AD" w:rsidRDefault="0076611B" w:rsidP="00E223A1">
      <w:pPr>
        <w:ind w:left="200"/>
        <w:jc w:val="both"/>
        <w:rPr>
          <w:rStyle w:val="Subst"/>
          <w:bCs/>
          <w:iCs/>
        </w:rPr>
      </w:pPr>
      <w:r>
        <w:rPr>
          <w:rStyle w:val="Subst"/>
          <w:bCs/>
          <w:iCs/>
        </w:rPr>
        <w:t xml:space="preserve">В 2024 г. ПАО "Мордовская энергосбытовая компания" увеличило объем покупки электроэнергии/мощности по сравнению с 2023 г. на 22 484.4 </w:t>
      </w:r>
      <w:proofErr w:type="spellStart"/>
      <w:r>
        <w:rPr>
          <w:rStyle w:val="Subst"/>
          <w:bCs/>
          <w:iCs/>
        </w:rPr>
        <w:t>МВтч</w:t>
      </w:r>
      <w:proofErr w:type="spellEnd"/>
      <w:r>
        <w:rPr>
          <w:rStyle w:val="Subst"/>
          <w:bCs/>
          <w:iCs/>
        </w:rPr>
        <w:t xml:space="preserve"> (+1,6%). Основное влияние оказали заключение новых договоров и вывод на оптовый рынок электроэнергии и мощности (ОРЭМ) потребителей в иных регионах присутствия (прирост объемов на 7 921.0 </w:t>
      </w:r>
      <w:proofErr w:type="spellStart"/>
      <w:r>
        <w:rPr>
          <w:rStyle w:val="Subst"/>
          <w:bCs/>
          <w:iCs/>
        </w:rPr>
        <w:t>МВтч</w:t>
      </w:r>
      <w:proofErr w:type="spellEnd"/>
      <w:r>
        <w:rPr>
          <w:rStyle w:val="Subst"/>
          <w:bCs/>
          <w:iCs/>
        </w:rPr>
        <w:t>, +19,3%).</w:t>
      </w:r>
      <w:r>
        <w:rPr>
          <w:rStyle w:val="Subst"/>
          <w:bCs/>
          <w:iCs/>
        </w:rPr>
        <w:br/>
        <w:t xml:space="preserve">ПАО "Мордовская энергосбытовая компания" увеличило в 2024 году реализацию электроэнергии потребителям по сравнению с 2023 г. на 2,2% (2023 г. – 1 215,6 </w:t>
      </w:r>
      <w:proofErr w:type="spellStart"/>
      <w:r>
        <w:rPr>
          <w:rStyle w:val="Subst"/>
          <w:bCs/>
          <w:iCs/>
        </w:rPr>
        <w:t>млн.кВт.ч</w:t>
      </w:r>
      <w:proofErr w:type="spellEnd"/>
      <w:r>
        <w:rPr>
          <w:rStyle w:val="Subst"/>
          <w:bCs/>
          <w:iCs/>
        </w:rPr>
        <w:t xml:space="preserve">., 2024 г. – 1 242,4 </w:t>
      </w:r>
      <w:proofErr w:type="spellStart"/>
      <w:r>
        <w:rPr>
          <w:rStyle w:val="Subst"/>
          <w:bCs/>
          <w:iCs/>
        </w:rPr>
        <w:t>млн.кВт.ч</w:t>
      </w:r>
      <w:proofErr w:type="spellEnd"/>
      <w:r>
        <w:rPr>
          <w:rStyle w:val="Subst"/>
          <w:bCs/>
          <w:iCs/>
        </w:rPr>
        <w:t xml:space="preserve">.). Реализация электроэнергии в целях компенсации потерь э/э в оборудовании территориальных сетевых организаций (далее ТСО) снизилась на 2,8% (2023 г. – 202,4 </w:t>
      </w:r>
      <w:proofErr w:type="spellStart"/>
      <w:r>
        <w:rPr>
          <w:rStyle w:val="Subst"/>
          <w:bCs/>
          <w:iCs/>
        </w:rPr>
        <w:t>млн.кВт.ч</w:t>
      </w:r>
      <w:proofErr w:type="spellEnd"/>
      <w:r>
        <w:rPr>
          <w:rStyle w:val="Subst"/>
          <w:bCs/>
          <w:iCs/>
        </w:rPr>
        <w:t>.,</w:t>
      </w:r>
      <w:r w:rsidR="00A25A15">
        <w:rPr>
          <w:rStyle w:val="Subst"/>
          <w:bCs/>
          <w:iCs/>
        </w:rPr>
        <w:t xml:space="preserve"> 2024 г. – 196,7 </w:t>
      </w:r>
      <w:proofErr w:type="spellStart"/>
      <w:r w:rsidR="00A25A15">
        <w:rPr>
          <w:rStyle w:val="Subst"/>
          <w:bCs/>
          <w:iCs/>
        </w:rPr>
        <w:t>млн.кВт.ч</w:t>
      </w:r>
      <w:proofErr w:type="spellEnd"/>
      <w:r w:rsidR="00A25A15">
        <w:rPr>
          <w:rStyle w:val="Subst"/>
          <w:bCs/>
          <w:iCs/>
        </w:rPr>
        <w:t>.).</w:t>
      </w:r>
      <w:r w:rsidR="00A25A15">
        <w:rPr>
          <w:rStyle w:val="Subst"/>
          <w:bCs/>
          <w:iCs/>
        </w:rPr>
        <w:br/>
      </w:r>
    </w:p>
    <w:tbl>
      <w:tblPr>
        <w:tblW w:w="8931" w:type="dxa"/>
        <w:tblInd w:w="250" w:type="dxa"/>
        <w:tblLayout w:type="fixed"/>
        <w:tblLook w:val="04A0" w:firstRow="1" w:lastRow="0" w:firstColumn="1" w:lastColumn="0" w:noHBand="0" w:noVBand="1"/>
      </w:tblPr>
      <w:tblGrid>
        <w:gridCol w:w="3002"/>
        <w:gridCol w:w="1140"/>
        <w:gridCol w:w="1140"/>
        <w:gridCol w:w="1097"/>
        <w:gridCol w:w="1276"/>
        <w:gridCol w:w="1276"/>
      </w:tblGrid>
      <w:tr w:rsidR="003825AD" w:rsidRPr="007A688B" w:rsidTr="003825AD">
        <w:trPr>
          <w:trHeight w:val="1035"/>
        </w:trPr>
        <w:tc>
          <w:tcPr>
            <w:tcW w:w="3002" w:type="dxa"/>
            <w:vMerge w:val="restart"/>
            <w:tcBorders>
              <w:top w:val="single" w:sz="8" w:space="0" w:color="auto"/>
              <w:left w:val="single" w:sz="8" w:space="0" w:color="auto"/>
              <w:bottom w:val="single" w:sz="8" w:space="0" w:color="000000"/>
              <w:right w:val="single" w:sz="8" w:space="0" w:color="auto"/>
            </w:tcBorders>
            <w:noWrap/>
            <w:vAlign w:val="center"/>
            <w:hideMark/>
          </w:tcPr>
          <w:p w:rsidR="003825AD" w:rsidRPr="007A688B" w:rsidRDefault="003825AD" w:rsidP="003825AD">
            <w:pPr>
              <w:widowControl/>
              <w:autoSpaceDE/>
              <w:autoSpaceDN/>
              <w:adjustRightInd/>
              <w:spacing w:before="0" w:after="0"/>
              <w:ind w:hanging="132"/>
              <w:jc w:val="center"/>
              <w:rPr>
                <w:rFonts w:eastAsia="Times New Roman"/>
                <w:b/>
                <w:bCs/>
                <w:color w:val="000000"/>
              </w:rPr>
            </w:pPr>
            <w:r w:rsidRPr="007A688B">
              <w:rPr>
                <w:rFonts w:eastAsia="Times New Roman"/>
                <w:b/>
                <w:bCs/>
                <w:color w:val="000000"/>
              </w:rPr>
              <w:t>Структура</w:t>
            </w:r>
          </w:p>
        </w:tc>
        <w:tc>
          <w:tcPr>
            <w:tcW w:w="1140" w:type="dxa"/>
            <w:tcBorders>
              <w:top w:val="single" w:sz="8" w:space="0" w:color="auto"/>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2023</w:t>
            </w:r>
            <w:r w:rsidR="00753B74">
              <w:rPr>
                <w:rFonts w:eastAsia="Times New Roman"/>
                <w:b/>
                <w:bCs/>
                <w:color w:val="000000"/>
              </w:rPr>
              <w:t xml:space="preserve"> </w:t>
            </w:r>
            <w:r w:rsidRPr="007A688B">
              <w:rPr>
                <w:rFonts w:eastAsia="Times New Roman"/>
                <w:b/>
                <w:bCs/>
                <w:color w:val="000000"/>
              </w:rPr>
              <w:t>г.</w:t>
            </w:r>
          </w:p>
        </w:tc>
        <w:tc>
          <w:tcPr>
            <w:tcW w:w="1140" w:type="dxa"/>
            <w:tcBorders>
              <w:top w:val="single" w:sz="8" w:space="0" w:color="auto"/>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2024</w:t>
            </w:r>
            <w:r w:rsidR="00753B74">
              <w:rPr>
                <w:rFonts w:eastAsia="Times New Roman"/>
                <w:b/>
                <w:bCs/>
                <w:color w:val="000000"/>
              </w:rPr>
              <w:t xml:space="preserve"> </w:t>
            </w:r>
            <w:r w:rsidRPr="007A688B">
              <w:rPr>
                <w:rFonts w:eastAsia="Times New Roman"/>
                <w:b/>
                <w:bCs/>
                <w:color w:val="000000"/>
              </w:rPr>
              <w:t>г.</w:t>
            </w:r>
          </w:p>
        </w:tc>
        <w:tc>
          <w:tcPr>
            <w:tcW w:w="1097" w:type="dxa"/>
            <w:tcBorders>
              <w:top w:val="single" w:sz="8" w:space="0" w:color="auto"/>
              <w:left w:val="nil"/>
              <w:bottom w:val="single" w:sz="8" w:space="0" w:color="auto"/>
              <w:right w:val="single" w:sz="8" w:space="0" w:color="auto"/>
            </w:tcBorders>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Абсолютное отклонение</w:t>
            </w:r>
          </w:p>
        </w:tc>
        <w:tc>
          <w:tcPr>
            <w:tcW w:w="1276" w:type="dxa"/>
            <w:tcBorders>
              <w:top w:val="single" w:sz="8" w:space="0" w:color="auto"/>
              <w:left w:val="nil"/>
              <w:bottom w:val="single" w:sz="8" w:space="0" w:color="auto"/>
              <w:right w:val="single" w:sz="8" w:space="0" w:color="auto"/>
            </w:tcBorders>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Относительное отклонение</w:t>
            </w:r>
          </w:p>
        </w:tc>
        <w:tc>
          <w:tcPr>
            <w:tcW w:w="1276" w:type="dxa"/>
            <w:tcBorders>
              <w:top w:val="single" w:sz="8" w:space="0" w:color="auto"/>
              <w:left w:val="nil"/>
              <w:bottom w:val="single" w:sz="8" w:space="0" w:color="auto"/>
              <w:right w:val="single" w:sz="8" w:space="0" w:color="auto"/>
            </w:tcBorders>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Доля в общем объеме</w:t>
            </w:r>
          </w:p>
        </w:tc>
      </w:tr>
      <w:tr w:rsidR="003825AD" w:rsidRPr="007A688B" w:rsidTr="003825AD">
        <w:trPr>
          <w:trHeight w:val="525"/>
        </w:trPr>
        <w:tc>
          <w:tcPr>
            <w:tcW w:w="3002" w:type="dxa"/>
            <w:vMerge/>
            <w:tcBorders>
              <w:top w:val="single" w:sz="8" w:space="0" w:color="auto"/>
              <w:left w:val="single" w:sz="8" w:space="0" w:color="auto"/>
              <w:bottom w:val="single" w:sz="8" w:space="0" w:color="000000"/>
              <w:right w:val="single" w:sz="8" w:space="0" w:color="auto"/>
            </w:tcBorders>
            <w:vAlign w:val="center"/>
            <w:hideMark/>
          </w:tcPr>
          <w:p w:rsidR="003825AD" w:rsidRPr="007A688B" w:rsidRDefault="003825AD" w:rsidP="003825AD">
            <w:pPr>
              <w:widowControl/>
              <w:autoSpaceDE/>
              <w:autoSpaceDN/>
              <w:adjustRightInd/>
              <w:spacing w:before="0" w:after="0"/>
              <w:rPr>
                <w:rFonts w:eastAsia="Times New Roman"/>
                <w:b/>
                <w:bCs/>
                <w:color w:val="000000"/>
              </w:rPr>
            </w:pPr>
          </w:p>
        </w:tc>
        <w:tc>
          <w:tcPr>
            <w:tcW w:w="1140" w:type="dxa"/>
            <w:tcBorders>
              <w:top w:val="nil"/>
              <w:left w:val="nil"/>
              <w:bottom w:val="single" w:sz="8" w:space="0" w:color="auto"/>
              <w:right w:val="single" w:sz="8" w:space="0" w:color="auto"/>
            </w:tcBorders>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proofErr w:type="spellStart"/>
            <w:r w:rsidRPr="007A688B">
              <w:rPr>
                <w:rFonts w:eastAsia="Times New Roman"/>
                <w:b/>
                <w:bCs/>
                <w:color w:val="000000"/>
              </w:rPr>
              <w:t>млн.кВтч</w:t>
            </w:r>
            <w:proofErr w:type="spellEnd"/>
            <w:r w:rsidRPr="007A688B">
              <w:rPr>
                <w:rFonts w:eastAsia="Times New Roman"/>
                <w:b/>
                <w:bCs/>
                <w:color w:val="000000"/>
              </w:rPr>
              <w:t>.</w:t>
            </w:r>
          </w:p>
        </w:tc>
        <w:tc>
          <w:tcPr>
            <w:tcW w:w="1140" w:type="dxa"/>
            <w:tcBorders>
              <w:top w:val="nil"/>
              <w:left w:val="nil"/>
              <w:bottom w:val="single" w:sz="8" w:space="0" w:color="auto"/>
              <w:right w:val="single" w:sz="8" w:space="0" w:color="auto"/>
            </w:tcBorders>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proofErr w:type="spellStart"/>
            <w:r w:rsidRPr="007A688B">
              <w:rPr>
                <w:rFonts w:eastAsia="Times New Roman"/>
                <w:b/>
                <w:bCs/>
                <w:color w:val="000000"/>
              </w:rPr>
              <w:t>млн.кВтч</w:t>
            </w:r>
            <w:proofErr w:type="spellEnd"/>
            <w:r w:rsidRPr="007A688B">
              <w:rPr>
                <w:rFonts w:eastAsia="Times New Roman"/>
                <w:b/>
                <w:bCs/>
                <w:color w:val="000000"/>
              </w:rPr>
              <w:t>.</w:t>
            </w:r>
          </w:p>
        </w:tc>
        <w:tc>
          <w:tcPr>
            <w:tcW w:w="1097" w:type="dxa"/>
            <w:tcBorders>
              <w:top w:val="nil"/>
              <w:left w:val="nil"/>
              <w:bottom w:val="single" w:sz="8" w:space="0" w:color="auto"/>
              <w:right w:val="single" w:sz="8" w:space="0" w:color="auto"/>
            </w:tcBorders>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proofErr w:type="spellStart"/>
            <w:r w:rsidRPr="007A688B">
              <w:rPr>
                <w:rFonts w:eastAsia="Times New Roman"/>
                <w:b/>
                <w:bCs/>
                <w:color w:val="000000"/>
              </w:rPr>
              <w:t>млн.кВтч</w:t>
            </w:r>
            <w:proofErr w:type="spellEnd"/>
            <w:r w:rsidRPr="007A688B">
              <w:rPr>
                <w:rFonts w:eastAsia="Times New Roman"/>
                <w:b/>
                <w:bCs/>
                <w:color w:val="000000"/>
              </w:rPr>
              <w:t>.</w:t>
            </w:r>
          </w:p>
        </w:tc>
        <w:tc>
          <w:tcPr>
            <w:tcW w:w="1276" w:type="dxa"/>
            <w:tcBorders>
              <w:top w:val="nil"/>
              <w:left w:val="nil"/>
              <w:bottom w:val="single" w:sz="8" w:space="0" w:color="auto"/>
              <w:right w:val="single" w:sz="8" w:space="0" w:color="auto"/>
            </w:tcBorders>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w:t>
            </w:r>
          </w:p>
        </w:tc>
        <w:tc>
          <w:tcPr>
            <w:tcW w:w="1276" w:type="dxa"/>
            <w:tcBorders>
              <w:top w:val="nil"/>
              <w:left w:val="nil"/>
              <w:bottom w:val="single" w:sz="8" w:space="0" w:color="auto"/>
              <w:right w:val="single" w:sz="8" w:space="0" w:color="auto"/>
            </w:tcBorders>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lastRenderedPageBreak/>
              <w:t>1. Промышленность</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312,5</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337,8</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25,3</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8,1%</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23,5%</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2. Бюджет</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114,8</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122,4</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7,6</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6,6%</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8,5%</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3. Прочие отрасли</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232,3</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239,3</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7,0</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3,0%</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16,6%</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4. Население быт</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365,5</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384,8</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19,3</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5,3%</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26,7%</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5. Потребители, приравненные к населению</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2,8</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2,9</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0,1</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4,0%</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0,2%</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6.2. Управляющие компании, ТСЖ</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27,3</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23,4</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-3,9</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-14,4%</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1,6%</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6.3. Водопроводно-канализационное хозяйство</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29,3</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31,0</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1,7</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5,9%</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2,2%</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6.4. Прочие ЖКХ</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7,5</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7,1</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-0,4</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-5,5%</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0,5%</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6.1. ЭСО</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123,6</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93,7</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-29,9</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-24,2%</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6,5%</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b/>
                <w:bCs/>
                <w:color w:val="000000"/>
              </w:rPr>
            </w:pPr>
            <w:r w:rsidRPr="007A688B">
              <w:rPr>
                <w:rFonts w:eastAsia="Times New Roman"/>
                <w:b/>
                <w:bCs/>
                <w:color w:val="000000"/>
              </w:rPr>
              <w:t>ВСЕГО</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1 215,6</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1 242,4</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26,8</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2,2%</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86,3%</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color w:val="000000"/>
              </w:rPr>
            </w:pPr>
            <w:r w:rsidRPr="007A688B">
              <w:rPr>
                <w:rFonts w:eastAsia="Times New Roman"/>
                <w:color w:val="000000"/>
              </w:rPr>
              <w:t>Потери ТСО</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202,4</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196,7</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-5,7</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-2,8%</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13,7%</w:t>
            </w:r>
          </w:p>
        </w:tc>
      </w:tr>
      <w:tr w:rsidR="003825AD" w:rsidRPr="007A688B" w:rsidTr="003825AD">
        <w:trPr>
          <w:trHeight w:val="315"/>
        </w:trPr>
        <w:tc>
          <w:tcPr>
            <w:tcW w:w="3002" w:type="dxa"/>
            <w:tcBorders>
              <w:top w:val="nil"/>
              <w:left w:val="single" w:sz="8" w:space="0" w:color="auto"/>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rPr>
                <w:rFonts w:eastAsia="Times New Roman"/>
                <w:b/>
                <w:bCs/>
                <w:color w:val="000000"/>
              </w:rPr>
            </w:pPr>
            <w:r w:rsidRPr="007A688B">
              <w:rPr>
                <w:rFonts w:eastAsia="Times New Roman"/>
                <w:b/>
                <w:bCs/>
                <w:color w:val="000000"/>
              </w:rPr>
              <w:t>Итого</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1 418,0</w:t>
            </w:r>
          </w:p>
        </w:tc>
        <w:tc>
          <w:tcPr>
            <w:tcW w:w="1140"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1 439,1</w:t>
            </w:r>
          </w:p>
        </w:tc>
        <w:tc>
          <w:tcPr>
            <w:tcW w:w="1097"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b/>
                <w:bCs/>
                <w:color w:val="000000"/>
              </w:rPr>
            </w:pPr>
            <w:r w:rsidRPr="007A688B">
              <w:rPr>
                <w:rFonts w:eastAsia="Times New Roman"/>
                <w:b/>
                <w:bCs/>
                <w:color w:val="000000"/>
              </w:rPr>
              <w:t>21,1</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1,5%</w:t>
            </w:r>
          </w:p>
        </w:tc>
        <w:tc>
          <w:tcPr>
            <w:tcW w:w="1276" w:type="dxa"/>
            <w:tcBorders>
              <w:top w:val="nil"/>
              <w:left w:val="nil"/>
              <w:bottom w:val="single" w:sz="8" w:space="0" w:color="auto"/>
              <w:right w:val="single" w:sz="8" w:space="0" w:color="auto"/>
            </w:tcBorders>
            <w:noWrap/>
            <w:vAlign w:val="center"/>
            <w:hideMark/>
          </w:tcPr>
          <w:p w:rsidR="003825AD" w:rsidRPr="007A688B" w:rsidRDefault="003825AD" w:rsidP="003825AD">
            <w:pPr>
              <w:widowControl/>
              <w:autoSpaceDE/>
              <w:autoSpaceDN/>
              <w:adjustRightInd/>
              <w:spacing w:before="0" w:after="0"/>
              <w:jc w:val="center"/>
              <w:rPr>
                <w:rFonts w:eastAsia="Times New Roman"/>
                <w:color w:val="000000"/>
              </w:rPr>
            </w:pPr>
            <w:r w:rsidRPr="007A688B">
              <w:rPr>
                <w:rFonts w:eastAsia="Times New Roman"/>
                <w:color w:val="000000"/>
              </w:rPr>
              <w:t>100,0%</w:t>
            </w:r>
          </w:p>
        </w:tc>
      </w:tr>
    </w:tbl>
    <w:p w:rsidR="0076611B" w:rsidRDefault="0076611B" w:rsidP="00E223A1">
      <w:pPr>
        <w:ind w:left="200"/>
        <w:jc w:val="both"/>
      </w:pPr>
      <w:r>
        <w:rPr>
          <w:rStyle w:val="Subst"/>
          <w:bCs/>
          <w:iCs/>
        </w:rPr>
        <w:br/>
        <w:t>Наибольшее снижение полезного отпуска относительно прошлого года произошло по группам «ЭСО», «Управляющие компании, ТСЖ», «Потери ТСО».</w:t>
      </w:r>
      <w:r>
        <w:rPr>
          <w:rStyle w:val="Subst"/>
          <w:bCs/>
          <w:iCs/>
        </w:rPr>
        <w:br/>
        <w:t>Снижение по группе «ЭСО» обусловлено переходом ряда потребителей на покупку электрической энергии с оптового рынка.</w:t>
      </w:r>
      <w:r>
        <w:rPr>
          <w:rStyle w:val="Subst"/>
          <w:bCs/>
          <w:iCs/>
        </w:rPr>
        <w:br/>
        <w:t>Снижение по группе «Потери ТСО» произошло в связи исполнением сетевыми компаниями требований действующего законодательства в части оснащения конечных потребителей приборами учета и реализацией инвестиционных программ.</w:t>
      </w:r>
      <w:r>
        <w:rPr>
          <w:rStyle w:val="Subst"/>
          <w:bCs/>
          <w:iCs/>
        </w:rPr>
        <w:br/>
        <w:t>Несмотря на тенденцию снижения полезного отпуска, обусловленную переходом ряда потребителей на покупку электроэнергии с оптового рынка, отдельно стоит выделить рост полезного отпуска в виду заключения договоров с потребителем вне зоны действия гарантирующего поставщика, а также рост по категории «Промышленность», «Население быт», произошедший в результате наращивания производственных мощностей, в том числе за счет нового технологического присоединения.</w:t>
      </w:r>
      <w:r>
        <w:rPr>
          <w:rStyle w:val="Subst"/>
          <w:bCs/>
          <w:iCs/>
        </w:rPr>
        <w:br/>
        <w:t>Наибольший удельный вес в суммарном электропотреблении ПАО "Мордовская энергосбытовая компания" за 2024 года приходится на «Население быт» и составляет 26,7%.</w:t>
      </w:r>
    </w:p>
    <w:p w:rsidR="0076611B" w:rsidRDefault="0076611B" w:rsidP="00E223A1">
      <w:pPr>
        <w:pStyle w:val="2"/>
        <w:jc w:val="both"/>
      </w:pPr>
      <w:bookmarkStart w:id="7" w:name="_Toc196398448"/>
      <w:r>
        <w:t>1.4. Основные финансовые показатели эмитента</w:t>
      </w:r>
      <w:bookmarkEnd w:id="7"/>
    </w:p>
    <w:p w:rsidR="0076611B" w:rsidRDefault="0076611B" w:rsidP="00E223A1">
      <w:pPr>
        <w:pStyle w:val="2"/>
        <w:jc w:val="both"/>
      </w:pPr>
      <w:bookmarkStart w:id="8" w:name="_Toc196398449"/>
      <w:r>
        <w:t>1.4.1. Финансовые показатели</w:t>
      </w:r>
      <w:r w:rsidR="003825AD">
        <w:t>,</w:t>
      </w:r>
      <w:r>
        <w:t xml:space="preserve"> рассчитываемые на основе консолидированной финансовой отчетности (финансовой отчетности)</w:t>
      </w:r>
      <w:bookmarkEnd w:id="8"/>
    </w:p>
    <w:p w:rsidR="0076611B" w:rsidRDefault="0076611B" w:rsidP="00E223A1">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76611B" w:rsidTr="003825AD">
        <w:tc>
          <w:tcPr>
            <w:tcW w:w="692"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N п/п</w:t>
            </w:r>
          </w:p>
        </w:tc>
        <w:tc>
          <w:tcPr>
            <w:tcW w:w="342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2023, 12 мес.</w:t>
            </w:r>
          </w:p>
        </w:tc>
        <w:tc>
          <w:tcPr>
            <w:tcW w:w="2580"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2024, 12 мес.</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1</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Выручка, тыс. руб.</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7 639 419</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8 355 920</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2</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 xml:space="preserve">Прибыль до вычета расходов по выплате процентов, налогов, износа основных средств и амортизации нематериальных активов (EBITDA), </w:t>
            </w:r>
            <w:proofErr w:type="spellStart"/>
            <w:r>
              <w:t>тыс.руб</w:t>
            </w:r>
            <w:proofErr w:type="spellEnd"/>
            <w:r>
              <w:t>.</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305 198</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440 461</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3</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 xml:space="preserve">Рентабельность по EBITDA (EBITDA </w:t>
            </w:r>
            <w:proofErr w:type="spellStart"/>
            <w:r>
              <w:t>margin</w:t>
            </w:r>
            <w:proofErr w:type="spellEnd"/>
            <w:r>
              <w:t>), %</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4</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5.3</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4</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Чистая прибыль (убыток), тыс. руб.</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144 473</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212 585</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5</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Чистые денежные средства, полученные от операционной деятельности, тыс. руб.</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394 442</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262 542</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6</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Расходы на приобретение основных средств и нематериальных активов (капитальные затраты), тыс. руб.</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96 887</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116 989</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7</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Свободный денежный поток, тыс. руб.</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297 555</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145 553</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lastRenderedPageBreak/>
              <w:t>8</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Чистый долг, тыс. руб.</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68 875</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79 584</w:t>
            </w:r>
          </w:p>
        </w:tc>
      </w:tr>
      <w:tr w:rsidR="0076611B" w:rsidTr="003825AD">
        <w:tc>
          <w:tcPr>
            <w:tcW w:w="6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9</w:t>
            </w:r>
          </w:p>
        </w:tc>
        <w:tc>
          <w:tcPr>
            <w:tcW w:w="342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Отношение чистого долга к EBITDA за последние 6 месяцев</w:t>
            </w:r>
          </w:p>
        </w:tc>
        <w:tc>
          <w:tcPr>
            <w:tcW w:w="25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0.2</w:t>
            </w:r>
          </w:p>
        </w:tc>
        <w:tc>
          <w:tcPr>
            <w:tcW w:w="25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0.2</w:t>
            </w:r>
          </w:p>
        </w:tc>
      </w:tr>
      <w:tr w:rsidR="0076611B" w:rsidTr="003825AD">
        <w:tc>
          <w:tcPr>
            <w:tcW w:w="69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10</w:t>
            </w:r>
          </w:p>
        </w:tc>
        <w:tc>
          <w:tcPr>
            <w:tcW w:w="342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Рентабельность капитала (ROE), %</w:t>
            </w:r>
          </w:p>
        </w:tc>
        <w:tc>
          <w:tcPr>
            <w:tcW w:w="25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42.1</w:t>
            </w:r>
          </w:p>
        </w:tc>
        <w:tc>
          <w:tcPr>
            <w:tcW w:w="2580"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51.4</w:t>
            </w:r>
          </w:p>
        </w:tc>
      </w:tr>
    </w:tbl>
    <w:p w:rsidR="0076611B" w:rsidRDefault="0076611B" w:rsidP="00E223A1">
      <w:pPr>
        <w:jc w:val="both"/>
      </w:pPr>
    </w:p>
    <w:p w:rsidR="0076611B" w:rsidRDefault="0076611B" w:rsidP="00E223A1">
      <w:pPr>
        <w:ind w:left="200"/>
        <w:jc w:val="both"/>
      </w:pPr>
      <w:r>
        <w:t>Статьи консолидированной финансовой отчетности (финансовой отчетности), на основе которых рас</w:t>
      </w:r>
      <w:r w:rsidR="00753B74">
        <w:t>считан показатель "Чистый долг".</w:t>
      </w:r>
      <w:r>
        <w:br/>
      </w:r>
      <w:r>
        <w:rPr>
          <w:rStyle w:val="Subst"/>
          <w:bCs/>
          <w:iCs/>
        </w:rPr>
        <w:t>Общий долг за вычетом денежных средств и их эквивалентов.</w:t>
      </w:r>
    </w:p>
    <w:p w:rsidR="0076611B" w:rsidRDefault="0076611B" w:rsidP="00E223A1">
      <w:pPr>
        <w:ind w:left="200"/>
        <w:jc w:val="both"/>
      </w:pPr>
      <w:r>
        <w:t>Статьи консолидированной финансовой (финансовой) отчётности, на осно</w:t>
      </w:r>
      <w:r w:rsidR="00753B74">
        <w:t>ве которых рассчитан показатель</w:t>
      </w:r>
      <w:r>
        <w:t xml:space="preserve"> EBITDA или OIBDA:</w:t>
      </w:r>
      <w:r>
        <w:br/>
      </w:r>
      <w:r>
        <w:rPr>
          <w:rStyle w:val="Subst"/>
          <w:bCs/>
          <w:iCs/>
        </w:rPr>
        <w:t>EBITDA (Сумма: Прибыль (убыток) до налогообложения, Расходы по выплате процентов, Износ основных средств, Амортизация нематериальных активов).</w:t>
      </w:r>
    </w:p>
    <w:p w:rsidR="0076611B" w:rsidRDefault="0076611B" w:rsidP="00E223A1">
      <w:pPr>
        <w:pStyle w:val="2"/>
        <w:jc w:val="both"/>
      </w:pPr>
      <w:bookmarkStart w:id="9" w:name="_Toc196398450"/>
      <w:r>
        <w:t>1.4.2. Финансовые показатели, рассчитываемые на основе бухгалтерской (финансовой) отчетности</w:t>
      </w:r>
      <w:bookmarkEnd w:id="9"/>
    </w:p>
    <w:p w:rsidR="0076611B" w:rsidRDefault="0076611B" w:rsidP="00E223A1">
      <w:pPr>
        <w:ind w:left="200"/>
        <w:jc w:val="both"/>
      </w:pPr>
      <w:r>
        <w:t>Эмитент, составляет и раскрывает консолидированную финансовую отчетность (финансовую отчетность)</w:t>
      </w:r>
    </w:p>
    <w:p w:rsidR="0076611B" w:rsidRDefault="0076611B" w:rsidP="00E223A1">
      <w:pPr>
        <w:pStyle w:val="2"/>
        <w:jc w:val="both"/>
      </w:pPr>
      <w:bookmarkStart w:id="10" w:name="_Toc196398451"/>
      <w:r>
        <w:t>1.4.3. Финансовые показатели кредитной организации</w:t>
      </w:r>
      <w:bookmarkEnd w:id="10"/>
    </w:p>
    <w:p w:rsidR="0076611B" w:rsidRDefault="0076611B" w:rsidP="00E223A1">
      <w:pPr>
        <w:ind w:left="200"/>
        <w:jc w:val="both"/>
      </w:pPr>
      <w:r>
        <w:t>Эмитент не является кредитной организацией</w:t>
      </w:r>
    </w:p>
    <w:p w:rsidR="0076611B" w:rsidRDefault="0076611B" w:rsidP="00E223A1">
      <w:pPr>
        <w:pStyle w:val="2"/>
        <w:jc w:val="both"/>
      </w:pPr>
      <w:bookmarkStart w:id="11" w:name="_Toc196398452"/>
      <w:r>
        <w:t>1.4.4. Иные финансовые показатели</w:t>
      </w:r>
      <w:bookmarkEnd w:id="11"/>
    </w:p>
    <w:p w:rsidR="0076611B" w:rsidRDefault="0076611B" w:rsidP="00E223A1">
      <w:pPr>
        <w:ind w:left="200"/>
        <w:jc w:val="both"/>
      </w:pPr>
      <w:r>
        <w:rPr>
          <w:rStyle w:val="Subst"/>
          <w:bCs/>
          <w:iCs/>
        </w:rPr>
        <w:t>Информация не указывается</w:t>
      </w:r>
    </w:p>
    <w:p w:rsidR="0076611B" w:rsidRDefault="0076611B" w:rsidP="00E223A1">
      <w:pPr>
        <w:pStyle w:val="2"/>
        <w:jc w:val="both"/>
      </w:pPr>
      <w:bookmarkStart w:id="12" w:name="_Toc196398453"/>
      <w:r>
        <w:t>1.4.5. Анализ динамики изменения финансовых показателей, приведенных в подпунктах 1.4.1 - 1.4.4 настоящего пункта</w:t>
      </w:r>
      <w:bookmarkEnd w:id="12"/>
    </w:p>
    <w:p w:rsidR="0076611B" w:rsidRDefault="0076611B" w:rsidP="00E223A1">
      <w:pPr>
        <w:ind w:left="200"/>
        <w:jc w:val="both"/>
      </w:pPr>
      <w:r>
        <w:rPr>
          <w:rStyle w:val="Subst"/>
          <w:bCs/>
          <w:iCs/>
        </w:rPr>
        <w:t>По итогам 2024 года фактическая выручка составила 8 355 920 тыс. руб., что выше показателя 2023 года на 716 501 тыс. руб. (+9,4%). На увеличение выручки повлиял рост средней цены продажи электроэнергии на 7,8% и объема электропотребления на 1,5%.</w:t>
      </w:r>
      <w:r>
        <w:rPr>
          <w:rStyle w:val="Subst"/>
          <w:bCs/>
          <w:iCs/>
        </w:rPr>
        <w:br/>
        <w:t xml:space="preserve">Прибыль ПАО «Мордовская энергосбытовая компания» до вычета расходов по выплате процентов, налогов, износа основных средств и амортизации нематериальных активов (показатель EBITDA) увеличилась в отчетном периоде на 44,3% до 440 461 тыс. руб. Рост показателя в основном объясняется увеличением прибыли до налогообложения (+ 47,7%). </w:t>
      </w:r>
      <w:r>
        <w:rPr>
          <w:rStyle w:val="Subst"/>
          <w:bCs/>
          <w:iCs/>
        </w:rPr>
        <w:br/>
        <w:t>Рост EBITDA повлиял на показатель Рентабельность по EBITDA. (+1,3%). Методика расчета показателя «Рентабельность по EBITDA» – соотношение показателя EBITDA к выручке.</w:t>
      </w:r>
      <w:r>
        <w:rPr>
          <w:rStyle w:val="Subst"/>
          <w:bCs/>
          <w:iCs/>
        </w:rPr>
        <w:br/>
        <w:t>Чистая прибыль Общества составила 212 585 тыс. руб., что выше показателя 2023 года на 68 112 тыс. руб. Причина - рост доходов превышает рост расходов Общества.</w:t>
      </w:r>
      <w:r>
        <w:rPr>
          <w:rStyle w:val="Subst"/>
          <w:bCs/>
          <w:iCs/>
        </w:rPr>
        <w:br/>
        <w:t>Денежные средства, полученные от операционной деятельности, включают в себя прибыль после налогообложения, скорректированную на ряд немонетарных статей, таких как начисленная амортизация и убытки от обесценения, убытки от выбытия основных средств, финансовые доходы/расходы и прочее. За 2024 год размер чистых поступлений денежных средств от операционной деятельности снизился на 131 900 тыс. руб. (-33,4%) по сравнению с прошлым годом.</w:t>
      </w:r>
      <w:r>
        <w:rPr>
          <w:rStyle w:val="Subst"/>
          <w:bCs/>
          <w:iCs/>
        </w:rPr>
        <w:br/>
        <w:t>Капитальные расходы за 2024 год выросли на 20,7% по сравнению с 2023 годом и составили 116 989 тыс. руб. Рост капитальных расходов обусловлен расширением действующих и реализацией новых инвестиционных проектов Общества.</w:t>
      </w:r>
      <w:r>
        <w:rPr>
          <w:rStyle w:val="Subst"/>
          <w:bCs/>
          <w:iCs/>
        </w:rPr>
        <w:br/>
        <w:t>Методика расчета показателя «Свободный денежный поток» – разность между поступлениями денежных средств от операционной деятельности и расходами на приобретение основных средств. Снижение свободного денежного потока за 2024 год относительно 2023 года на 152 002 тыс. руб. (-51,1%) объясняется главным образом снижением чистых поступлений денежных средств от операционной деятельности (-33,4%).</w:t>
      </w:r>
      <w:r>
        <w:rPr>
          <w:rStyle w:val="Subst"/>
          <w:bCs/>
          <w:iCs/>
        </w:rPr>
        <w:br/>
        <w:t xml:space="preserve">Чистый долг Общества рассчитывается как разница между общим долгом и денежными средствами и их эквивалентами. По итогам 2024 года отмечается рост чистого долга (+15,5%), что обусловлено ростом кредиторской задолженности по кредитам и займам на конец отчетного периода (+8,2%) и снижением денежных средств и их эквивалентов (-4,9%) относительно предыдущего года. </w:t>
      </w:r>
      <w:r>
        <w:rPr>
          <w:rStyle w:val="Subst"/>
          <w:bCs/>
          <w:iCs/>
        </w:rPr>
        <w:br/>
        <w:t xml:space="preserve">Одним из ключевых показателей Общества для целей оценки уровня долговой нагрузки является коэффициент долговой нагрузки (отношение показателя Чистого долга к значению EBITDA). </w:t>
      </w:r>
      <w:r>
        <w:rPr>
          <w:rStyle w:val="Subst"/>
          <w:bCs/>
          <w:iCs/>
        </w:rPr>
        <w:lastRenderedPageBreak/>
        <w:t xml:space="preserve">Чем ниже значение данного коэффициента, тем сильнее финансовая позиция Общества. Отношение чистого долга к EBITDA за 2024 год относительно 2023 года не изменилось. </w:t>
      </w:r>
      <w:r>
        <w:rPr>
          <w:rStyle w:val="Subst"/>
          <w:bCs/>
          <w:iCs/>
        </w:rPr>
        <w:br/>
        <w:t>Рентабельность капитала (ROE) - отношение чистой прибыли (убытка) к среднему размеру собственного (акционерного) капитала. Показатель Рентабельности капитала за 2024 год увеличился относительно 2023 года на 9,3% и составил 51,4%. Данное изменение вызвано ростом чистой прибыли на 47,1 %.</w:t>
      </w:r>
    </w:p>
    <w:p w:rsidR="0076611B" w:rsidRDefault="0076611B" w:rsidP="00E223A1">
      <w:pPr>
        <w:pStyle w:val="2"/>
        <w:jc w:val="both"/>
      </w:pPr>
      <w:bookmarkStart w:id="13" w:name="_Toc196398454"/>
      <w:r>
        <w:t>1.5. Сведения об основных поставщиках эмитента</w:t>
      </w:r>
      <w:bookmarkEnd w:id="13"/>
    </w:p>
    <w:p w:rsidR="0076611B" w:rsidRDefault="0076611B" w:rsidP="00E223A1">
      <w:pPr>
        <w:ind w:left="200"/>
        <w:jc w:val="both"/>
      </w:pPr>
      <w:r>
        <w:t>Информация настоящего пункта раскрывается на основе данных финансовой отчётности</w:t>
      </w:r>
    </w:p>
    <w:p w:rsidR="00280853" w:rsidRDefault="0076611B" w:rsidP="00280853">
      <w:pPr>
        <w:ind w:left="200"/>
        <w:jc w:val="both"/>
        <w:rPr>
          <w:rStyle w:val="Subst"/>
          <w:bCs/>
          <w:iCs/>
        </w:rPr>
      </w:pPr>
      <w:r>
        <w:t>Уровень (количественный критерий) существенности объема и (или) доли поставок основного поставщика:</w:t>
      </w:r>
      <w:r>
        <w:rPr>
          <w:rStyle w:val="Subst"/>
          <w:bCs/>
          <w:iCs/>
        </w:rPr>
        <w:t xml:space="preserve"> </w:t>
      </w:r>
      <w:r w:rsidR="00280853" w:rsidRPr="00280853">
        <w:rPr>
          <w:rStyle w:val="Subst"/>
          <w:bCs/>
          <w:iCs/>
        </w:rPr>
        <w:t>10 процентов от общего объема поставок сырья и товаров (работ, услуг)</w:t>
      </w:r>
    </w:p>
    <w:p w:rsidR="00280853" w:rsidRDefault="00280853" w:rsidP="00280853">
      <w:pPr>
        <w:ind w:left="200"/>
        <w:jc w:val="both"/>
        <w:rPr>
          <w:rStyle w:val="Subst"/>
          <w:bCs/>
          <w:iCs/>
        </w:rPr>
      </w:pPr>
    </w:p>
    <w:p w:rsidR="0076611B" w:rsidRDefault="0076611B" w:rsidP="00280853">
      <w:pPr>
        <w:ind w:left="200"/>
        <w:jc w:val="both"/>
      </w:pPr>
      <w:r>
        <w:t>Сведения о поставщиках, подпадающих под определенный эмитентом уровень существенности</w:t>
      </w:r>
    </w:p>
    <w:p w:rsidR="0076611B" w:rsidRDefault="0076611B" w:rsidP="00C7095D">
      <w:pPr>
        <w:ind w:left="200"/>
        <w:jc w:val="both"/>
      </w:pPr>
      <w:r>
        <w:t>Полное фирменное наименование:</w:t>
      </w:r>
      <w:r w:rsidRPr="00C7095D">
        <w:rPr>
          <w:b/>
          <w:i/>
        </w:rPr>
        <w:t xml:space="preserve"> Публичное акционерное общество "</w:t>
      </w:r>
      <w:proofErr w:type="spellStart"/>
      <w:r w:rsidRPr="00C7095D">
        <w:rPr>
          <w:b/>
          <w:i/>
        </w:rPr>
        <w:t>Россети</w:t>
      </w:r>
      <w:proofErr w:type="spellEnd"/>
      <w:r w:rsidRPr="00C7095D">
        <w:rPr>
          <w:b/>
          <w:i/>
        </w:rPr>
        <w:t xml:space="preserve"> Волга"</w:t>
      </w:r>
    </w:p>
    <w:p w:rsidR="0076611B" w:rsidRDefault="0076611B" w:rsidP="00C7095D">
      <w:pPr>
        <w:ind w:left="200"/>
        <w:jc w:val="both"/>
      </w:pPr>
      <w:r>
        <w:t>Сокращенное фирменное наименование:</w:t>
      </w:r>
      <w:r w:rsidRPr="00C7095D">
        <w:rPr>
          <w:b/>
          <w:i/>
        </w:rPr>
        <w:t xml:space="preserve"> ПАО "</w:t>
      </w:r>
      <w:proofErr w:type="spellStart"/>
      <w:r w:rsidRPr="00C7095D">
        <w:rPr>
          <w:b/>
          <w:i/>
        </w:rPr>
        <w:t>Россети</w:t>
      </w:r>
      <w:proofErr w:type="spellEnd"/>
      <w:r w:rsidRPr="00C7095D">
        <w:rPr>
          <w:b/>
          <w:i/>
        </w:rPr>
        <w:t xml:space="preserve"> Волга"</w:t>
      </w:r>
    </w:p>
    <w:p w:rsidR="0076611B" w:rsidRDefault="0076611B" w:rsidP="00C7095D">
      <w:pPr>
        <w:ind w:left="200"/>
        <w:jc w:val="both"/>
      </w:pPr>
      <w:r>
        <w:t>Место нахождения:</w:t>
      </w:r>
      <w:r w:rsidRPr="00C7095D">
        <w:rPr>
          <w:b/>
          <w:i/>
        </w:rPr>
        <w:t xml:space="preserve"> г. Саратов, ул. Первомайская, д. 42/44</w:t>
      </w:r>
    </w:p>
    <w:p w:rsidR="0076611B" w:rsidRDefault="0076611B" w:rsidP="00C7095D">
      <w:pPr>
        <w:ind w:left="200"/>
        <w:jc w:val="both"/>
      </w:pPr>
      <w:r>
        <w:t>ИНН:</w:t>
      </w:r>
      <w:r w:rsidRPr="00C7095D">
        <w:rPr>
          <w:b/>
          <w:i/>
        </w:rPr>
        <w:t xml:space="preserve"> 6450925977</w:t>
      </w:r>
    </w:p>
    <w:p w:rsidR="0076611B" w:rsidRDefault="0076611B" w:rsidP="00C7095D">
      <w:pPr>
        <w:ind w:left="200"/>
        <w:jc w:val="both"/>
      </w:pPr>
      <w:r>
        <w:t>ОГРН:</w:t>
      </w:r>
      <w:r w:rsidRPr="00C7095D">
        <w:rPr>
          <w:b/>
          <w:i/>
        </w:rPr>
        <w:t xml:space="preserve"> 1076450006280</w:t>
      </w:r>
    </w:p>
    <w:p w:rsidR="0076611B" w:rsidRDefault="0076611B" w:rsidP="00C7095D">
      <w:pPr>
        <w:ind w:left="200"/>
        <w:jc w:val="both"/>
      </w:pPr>
      <w:r>
        <w:t>Краткое описание (характеристика) поставленного сырья и товаров (работ, услуг):</w:t>
      </w:r>
      <w:r w:rsidRPr="00C7095D">
        <w:rPr>
          <w:b/>
          <w:i/>
        </w:rPr>
        <w:t xml:space="preserve"> Услуги по передаче электрической энергии, аренде помещений, ограничению (возобновлению) режима потребления электроэнергии</w:t>
      </w:r>
    </w:p>
    <w:p w:rsidR="0076611B" w:rsidRDefault="0076611B" w:rsidP="00C7095D">
      <w:pPr>
        <w:ind w:left="200"/>
        <w:jc w:val="both"/>
      </w:pPr>
      <w:r>
        <w:t>Доля основного поставщика в объеме поставок сырья и (товаров, работ, услуг), %:</w:t>
      </w:r>
      <w:r w:rsidRPr="00C7095D">
        <w:rPr>
          <w:b/>
          <w:i/>
        </w:rPr>
        <w:t xml:space="preserve"> 26.54</w:t>
      </w:r>
    </w:p>
    <w:p w:rsidR="0076611B" w:rsidRDefault="0076611B" w:rsidP="00C7095D">
      <w:pPr>
        <w:ind w:left="200"/>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rsidR="0076611B" w:rsidRDefault="0076611B" w:rsidP="00C7095D">
      <w:pPr>
        <w:ind w:left="200"/>
        <w:jc w:val="both"/>
      </w:pPr>
    </w:p>
    <w:p w:rsidR="0076611B" w:rsidRDefault="0076611B" w:rsidP="00C7095D">
      <w:pPr>
        <w:ind w:left="200"/>
        <w:jc w:val="both"/>
      </w:pPr>
      <w:r>
        <w:t>Полное фирменное наименование:</w:t>
      </w:r>
      <w:r w:rsidRPr="00C7095D">
        <w:rPr>
          <w:b/>
          <w:i/>
        </w:rPr>
        <w:t xml:space="preserve"> Акционерное общество "Центр финансовых расчетов"</w:t>
      </w:r>
    </w:p>
    <w:p w:rsidR="0076611B" w:rsidRDefault="0076611B" w:rsidP="00C7095D">
      <w:pPr>
        <w:ind w:left="200"/>
        <w:jc w:val="both"/>
      </w:pPr>
      <w:r>
        <w:t>Сокращенное фирменное наименование:</w:t>
      </w:r>
      <w:r w:rsidRPr="00C7095D">
        <w:rPr>
          <w:b/>
          <w:i/>
        </w:rPr>
        <w:t xml:space="preserve"> АО "ЦФР"</w:t>
      </w:r>
    </w:p>
    <w:p w:rsidR="0076611B" w:rsidRDefault="0076611B" w:rsidP="00C7095D">
      <w:pPr>
        <w:ind w:left="200"/>
        <w:jc w:val="both"/>
      </w:pPr>
      <w:r>
        <w:t>Место нахождения:</w:t>
      </w:r>
      <w:r w:rsidRPr="00C7095D">
        <w:rPr>
          <w:b/>
          <w:i/>
        </w:rPr>
        <w:t xml:space="preserve"> г. Москва г, Краснопресненская наб., дом 12, подъезд 7, этаж 7-8</w:t>
      </w:r>
    </w:p>
    <w:p w:rsidR="0076611B" w:rsidRDefault="0076611B" w:rsidP="00C7095D">
      <w:pPr>
        <w:ind w:left="200"/>
        <w:jc w:val="both"/>
      </w:pPr>
      <w:r>
        <w:t>ИНН:</w:t>
      </w:r>
      <w:r w:rsidRPr="00C7095D">
        <w:rPr>
          <w:b/>
          <w:i/>
        </w:rPr>
        <w:t xml:space="preserve"> 7705620038</w:t>
      </w:r>
    </w:p>
    <w:p w:rsidR="0076611B" w:rsidRDefault="0076611B" w:rsidP="00C7095D">
      <w:pPr>
        <w:ind w:left="200"/>
        <w:jc w:val="both"/>
      </w:pPr>
      <w:r>
        <w:t>ОГРН:</w:t>
      </w:r>
      <w:r w:rsidRPr="00C7095D">
        <w:rPr>
          <w:b/>
          <w:i/>
        </w:rPr>
        <w:t xml:space="preserve"> 1047796723534</w:t>
      </w:r>
    </w:p>
    <w:p w:rsidR="0076611B" w:rsidRDefault="0076611B" w:rsidP="00C7095D">
      <w:pPr>
        <w:ind w:left="200"/>
        <w:jc w:val="both"/>
      </w:pPr>
      <w:r>
        <w:t>Краткое описание (характеристика) поставленного сырья и товаров (работ, услуг):</w:t>
      </w:r>
      <w:r w:rsidRPr="00C7095D">
        <w:rPr>
          <w:b/>
          <w:i/>
        </w:rPr>
        <w:t xml:space="preserve"> Электроэнергия, услуги финансовой инфраструктуры ОРЭМ</w:t>
      </w:r>
    </w:p>
    <w:p w:rsidR="0076611B" w:rsidRDefault="0076611B" w:rsidP="00C7095D">
      <w:pPr>
        <w:ind w:left="200"/>
        <w:jc w:val="both"/>
      </w:pPr>
      <w:r>
        <w:t>Доля основного поставщика в объеме поставок сырья и (товаров, работ, услуг), %:</w:t>
      </w:r>
      <w:r w:rsidRPr="00C7095D">
        <w:rPr>
          <w:b/>
          <w:i/>
        </w:rPr>
        <w:t xml:space="preserve"> 24.26</w:t>
      </w:r>
    </w:p>
    <w:p w:rsidR="0076611B" w:rsidRDefault="0076611B" w:rsidP="00C7095D">
      <w:pPr>
        <w:ind w:left="200"/>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rsidR="0076611B" w:rsidRDefault="0076611B" w:rsidP="00E223A1">
      <w:pPr>
        <w:pStyle w:val="SubHeading"/>
        <w:ind w:left="200"/>
        <w:jc w:val="both"/>
      </w:pPr>
      <w:r>
        <w:t>Сведения об иных поставщиках, имеющих для эмитента существенное значение</w:t>
      </w:r>
    </w:p>
    <w:p w:rsidR="0076611B" w:rsidRDefault="0076611B" w:rsidP="00C7095D">
      <w:pPr>
        <w:ind w:left="200"/>
        <w:jc w:val="both"/>
      </w:pPr>
      <w:r w:rsidRPr="00C7095D">
        <w:rPr>
          <w:b/>
          <w:i/>
        </w:rPr>
        <w:t>Иных поставщиков, имеющих для эмитента существенное значение, нет</w:t>
      </w:r>
    </w:p>
    <w:p w:rsidR="0076611B" w:rsidRDefault="0076611B" w:rsidP="00E223A1">
      <w:pPr>
        <w:pStyle w:val="2"/>
        <w:jc w:val="both"/>
      </w:pPr>
      <w:bookmarkStart w:id="14" w:name="_Toc196398455"/>
      <w:r>
        <w:t>1.6. Сведения об основных дебиторах эмитента</w:t>
      </w:r>
      <w:bookmarkEnd w:id="14"/>
    </w:p>
    <w:p w:rsidR="0076611B" w:rsidRDefault="0076611B" w:rsidP="00E223A1">
      <w:pPr>
        <w:ind w:left="200"/>
        <w:jc w:val="both"/>
      </w:pPr>
      <w:r>
        <w:t>Информация настоящего пункта раскрывается на основе данных финансовой отчётности</w:t>
      </w:r>
    </w:p>
    <w:p w:rsidR="00280853" w:rsidRDefault="0076611B" w:rsidP="00280853">
      <w:pPr>
        <w:ind w:left="200"/>
        <w:jc w:val="both"/>
      </w:pPr>
      <w:r>
        <w:t>Уровень существенности дебиторской задолженности, приходящейся на долю основного дебитора:</w:t>
      </w:r>
      <w:r>
        <w:rPr>
          <w:rStyle w:val="Subst"/>
          <w:bCs/>
          <w:iCs/>
        </w:rPr>
        <w:t xml:space="preserve"> </w:t>
      </w:r>
      <w:r w:rsidR="00280853" w:rsidRPr="00A17044">
        <w:rPr>
          <w:rFonts w:eastAsia="MingLiU"/>
          <w:b/>
          <w:i/>
          <w:lang w:val="ru"/>
        </w:rPr>
        <w:t>10 процентов от общей суммы дебиторской задолженности</w:t>
      </w:r>
      <w:r w:rsidR="00280853">
        <w:t xml:space="preserve"> </w:t>
      </w:r>
    </w:p>
    <w:p w:rsidR="00280853" w:rsidRDefault="00280853" w:rsidP="00280853">
      <w:pPr>
        <w:ind w:left="200"/>
        <w:jc w:val="both"/>
      </w:pPr>
    </w:p>
    <w:p w:rsidR="0076611B" w:rsidRDefault="0076611B" w:rsidP="00280853">
      <w:pPr>
        <w:ind w:left="200"/>
        <w:jc w:val="both"/>
      </w:pPr>
      <w:r>
        <w:t xml:space="preserve">Основные дебиторы, имеющие для </w:t>
      </w:r>
      <w:proofErr w:type="gramStart"/>
      <w:r>
        <w:t>эмитента(</w:t>
      </w:r>
      <w:proofErr w:type="gramEnd"/>
      <w:r>
        <w:t>группы эмитента) существенное значение, подпадающие под определенный эмитентом уровень существенности</w:t>
      </w:r>
    </w:p>
    <w:p w:rsidR="0076611B" w:rsidRPr="002A306D" w:rsidRDefault="0076611B" w:rsidP="002A306D">
      <w:pPr>
        <w:ind w:left="200"/>
        <w:jc w:val="both"/>
        <w:rPr>
          <w:rFonts w:eastAsia="MingLiU"/>
          <w:b/>
          <w:i/>
          <w:lang w:val="ru"/>
        </w:rPr>
      </w:pPr>
      <w:r w:rsidRPr="002A306D">
        <w:rPr>
          <w:rFonts w:eastAsia="MingLiU"/>
          <w:b/>
          <w:i/>
          <w:lang w:val="ru"/>
        </w:rPr>
        <w:t>Дебиторов, подпадающих под определенный эмитентом уровень существенности нет</w:t>
      </w:r>
    </w:p>
    <w:p w:rsidR="0076611B" w:rsidRDefault="0076611B" w:rsidP="00E223A1">
      <w:pPr>
        <w:pStyle w:val="SubHeading"/>
        <w:ind w:left="200"/>
        <w:jc w:val="both"/>
      </w:pPr>
      <w:r>
        <w:t>Иные дебиторы, имеющие для эмитента существенное значение</w:t>
      </w:r>
    </w:p>
    <w:p w:rsidR="0076611B" w:rsidRPr="002A306D" w:rsidRDefault="0076611B" w:rsidP="002A306D">
      <w:pPr>
        <w:ind w:left="200"/>
        <w:jc w:val="both"/>
        <w:rPr>
          <w:rFonts w:eastAsia="MingLiU"/>
          <w:b/>
          <w:lang w:val="ru"/>
        </w:rPr>
      </w:pPr>
      <w:r w:rsidRPr="002A306D">
        <w:rPr>
          <w:rFonts w:eastAsia="MingLiU"/>
          <w:b/>
          <w:i/>
          <w:lang w:val="ru"/>
        </w:rPr>
        <w:t>Иных дебиторов, имеющих для эмитента существенное значение, нет</w:t>
      </w:r>
    </w:p>
    <w:p w:rsidR="0076611B" w:rsidRDefault="0076611B" w:rsidP="00E223A1">
      <w:pPr>
        <w:pStyle w:val="2"/>
        <w:jc w:val="both"/>
      </w:pPr>
      <w:bookmarkStart w:id="15" w:name="_Toc196398456"/>
      <w:r>
        <w:t>1.7. Сведения об обязательствах эмитента</w:t>
      </w:r>
      <w:bookmarkEnd w:id="15"/>
    </w:p>
    <w:p w:rsidR="0076611B" w:rsidRDefault="0076611B" w:rsidP="00E223A1">
      <w:pPr>
        <w:pStyle w:val="2"/>
        <w:jc w:val="both"/>
      </w:pPr>
      <w:bookmarkStart w:id="16" w:name="_Toc196398457"/>
      <w:r>
        <w:t>1.7.1. Сведения об основных кредиторах эмитента</w:t>
      </w:r>
      <w:bookmarkEnd w:id="16"/>
    </w:p>
    <w:p w:rsidR="0076611B" w:rsidRDefault="0076611B" w:rsidP="00E223A1">
      <w:pPr>
        <w:ind w:left="200"/>
        <w:jc w:val="both"/>
      </w:pPr>
      <w:r>
        <w:lastRenderedPageBreak/>
        <w:t>Информация настоящего пункта раскрывается на основе данных финансовой отчётности</w:t>
      </w:r>
    </w:p>
    <w:p w:rsidR="0076611B" w:rsidRDefault="0076611B" w:rsidP="00E223A1">
      <w:pPr>
        <w:ind w:left="200"/>
        <w:jc w:val="both"/>
      </w:pPr>
      <w:r>
        <w:t>Уровень существенности кредиторской задолженности, приходящейся на долю основного кредитора:</w:t>
      </w:r>
      <w:r>
        <w:rPr>
          <w:rStyle w:val="Subst"/>
          <w:bCs/>
          <w:iCs/>
        </w:rPr>
        <w:t xml:space="preserve"> </w:t>
      </w:r>
      <w:r w:rsidR="00280853" w:rsidRPr="00A17044">
        <w:rPr>
          <w:rFonts w:eastAsia="MingLiU"/>
          <w:b/>
          <w:i/>
          <w:lang w:val="ru"/>
        </w:rPr>
        <w:t>10 процентов от суммы кредиторской задолженности</w:t>
      </w:r>
    </w:p>
    <w:p w:rsidR="0076611B" w:rsidRDefault="0076611B" w:rsidP="00E223A1">
      <w:pPr>
        <w:pStyle w:val="SubHeading"/>
        <w:ind w:left="200"/>
        <w:jc w:val="both"/>
      </w:pPr>
      <w:r>
        <w:t>Основные кредиторы, имеющие для эмитента (группы эмитента) существенное значение</w:t>
      </w:r>
    </w:p>
    <w:p w:rsidR="0076611B" w:rsidRDefault="0076611B" w:rsidP="00E223A1">
      <w:pPr>
        <w:ind w:left="400"/>
        <w:jc w:val="both"/>
      </w:pPr>
      <w:r>
        <w:t>Полное фирменное наименование:</w:t>
      </w:r>
      <w:r>
        <w:rPr>
          <w:rStyle w:val="Subst"/>
          <w:bCs/>
          <w:iCs/>
        </w:rPr>
        <w:t xml:space="preserve"> Публичное акционерное общество "</w:t>
      </w:r>
      <w:proofErr w:type="spellStart"/>
      <w:r>
        <w:rPr>
          <w:rStyle w:val="Subst"/>
          <w:bCs/>
          <w:iCs/>
        </w:rPr>
        <w:t>Россети</w:t>
      </w:r>
      <w:proofErr w:type="spellEnd"/>
      <w:r>
        <w:rPr>
          <w:rStyle w:val="Subst"/>
          <w:bCs/>
          <w:iCs/>
        </w:rPr>
        <w:t xml:space="preserve"> Волга"</w:t>
      </w:r>
    </w:p>
    <w:p w:rsidR="0076611B" w:rsidRDefault="0076611B" w:rsidP="00E223A1">
      <w:pPr>
        <w:ind w:left="400"/>
        <w:jc w:val="both"/>
      </w:pPr>
      <w:r>
        <w:t>Сокращенное фирменное наименование:</w:t>
      </w:r>
      <w:r>
        <w:rPr>
          <w:rStyle w:val="Subst"/>
          <w:bCs/>
          <w:iCs/>
        </w:rPr>
        <w:t xml:space="preserve"> ПАО "</w:t>
      </w:r>
      <w:proofErr w:type="spellStart"/>
      <w:r>
        <w:rPr>
          <w:rStyle w:val="Subst"/>
          <w:bCs/>
          <w:iCs/>
        </w:rPr>
        <w:t>Россети</w:t>
      </w:r>
      <w:proofErr w:type="spellEnd"/>
      <w:r>
        <w:rPr>
          <w:rStyle w:val="Subst"/>
          <w:bCs/>
          <w:iCs/>
        </w:rPr>
        <w:t xml:space="preserve"> Волга"</w:t>
      </w:r>
    </w:p>
    <w:p w:rsidR="0076611B" w:rsidRDefault="0076611B" w:rsidP="00E223A1">
      <w:pPr>
        <w:ind w:left="400"/>
        <w:jc w:val="both"/>
      </w:pPr>
      <w:r>
        <w:t>Место нахождения:</w:t>
      </w:r>
      <w:r>
        <w:rPr>
          <w:rStyle w:val="Subst"/>
          <w:bCs/>
          <w:iCs/>
        </w:rPr>
        <w:t xml:space="preserve"> г. Саратов, ул. Первомайская, д. 42/44</w:t>
      </w:r>
    </w:p>
    <w:p w:rsidR="0076611B" w:rsidRDefault="0076611B" w:rsidP="00E223A1">
      <w:pPr>
        <w:ind w:left="400"/>
        <w:jc w:val="both"/>
      </w:pPr>
      <w:r>
        <w:t>ИНН:</w:t>
      </w:r>
      <w:r>
        <w:rPr>
          <w:rStyle w:val="Subst"/>
          <w:bCs/>
          <w:iCs/>
        </w:rPr>
        <w:t xml:space="preserve"> 6450925977</w:t>
      </w:r>
    </w:p>
    <w:p w:rsidR="0076611B" w:rsidRDefault="0076611B" w:rsidP="00E223A1">
      <w:pPr>
        <w:ind w:left="400"/>
        <w:jc w:val="both"/>
      </w:pPr>
      <w:r>
        <w:t>ОГРН:</w:t>
      </w:r>
      <w:r>
        <w:rPr>
          <w:rStyle w:val="Subst"/>
          <w:bCs/>
          <w:iCs/>
        </w:rPr>
        <w:t xml:space="preserve"> 1076450006280</w:t>
      </w:r>
    </w:p>
    <w:p w:rsidR="0076611B" w:rsidRDefault="0076611B" w:rsidP="00E223A1">
      <w:pPr>
        <w:ind w:left="400"/>
        <w:jc w:val="both"/>
      </w:pPr>
      <w:r>
        <w:t>Сумма кредиторской задолженности:</w:t>
      </w:r>
      <w:r>
        <w:rPr>
          <w:rStyle w:val="Subst"/>
          <w:bCs/>
          <w:iCs/>
        </w:rPr>
        <w:t xml:space="preserve"> 162 327.41</w:t>
      </w:r>
    </w:p>
    <w:p w:rsidR="0076611B" w:rsidRDefault="0076611B" w:rsidP="00E223A1">
      <w:pPr>
        <w:ind w:left="400"/>
        <w:jc w:val="both"/>
      </w:pPr>
      <w:r>
        <w:t>Единица измерения:</w:t>
      </w:r>
      <w:r>
        <w:rPr>
          <w:rStyle w:val="Subst"/>
          <w:bCs/>
          <w:iCs/>
        </w:rPr>
        <w:t xml:space="preserve"> тыс. руб.</w:t>
      </w:r>
    </w:p>
    <w:p w:rsidR="0076611B" w:rsidRDefault="0076611B" w:rsidP="00E223A1">
      <w:pPr>
        <w:ind w:left="400"/>
        <w:jc w:val="both"/>
      </w:pPr>
      <w:r>
        <w:t>Доля основного кредитора в объеме кредиторской задолженности, %:</w:t>
      </w:r>
      <w:r>
        <w:rPr>
          <w:rStyle w:val="Subst"/>
          <w:bCs/>
          <w:iCs/>
        </w:rPr>
        <w:t xml:space="preserve"> 16.4</w:t>
      </w:r>
    </w:p>
    <w:p w:rsidR="0076611B" w:rsidRDefault="0076611B" w:rsidP="00E223A1">
      <w:pPr>
        <w:ind w:left="400"/>
        <w:jc w:val="both"/>
      </w:pPr>
      <w:r>
        <w:t>Размер и условия (процентная ставка, размер неустойки) просроченной кредиторской задолженности:</w:t>
      </w:r>
      <w:r>
        <w:br/>
      </w:r>
      <w:r>
        <w:rPr>
          <w:rStyle w:val="Subst"/>
          <w:bCs/>
          <w:iCs/>
        </w:rPr>
        <w:t>Просроченная кредиторская задолженность - 0 руб.</w:t>
      </w:r>
      <w:r>
        <w:rPr>
          <w:rStyle w:val="Subst"/>
          <w:bCs/>
          <w:iCs/>
        </w:rPr>
        <w:br/>
        <w:t>При возникновении просроченной задолженности и взыскании неустойки будет применена 1/130 ставки рефинансирования ЦБ в соответствии с Федеральным законом от 03.11.2015 г.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76611B" w:rsidRDefault="0076611B" w:rsidP="00E223A1">
      <w:pPr>
        <w:ind w:left="400"/>
        <w:jc w:val="both"/>
      </w:pPr>
      <w:r>
        <w:t>Основной кредитор не является организацией, подконтрольной члену органов управления эмитента и (или) лицу, контролирующему эмитента</w:t>
      </w:r>
    </w:p>
    <w:p w:rsidR="0076611B" w:rsidRDefault="0076611B" w:rsidP="00E223A1">
      <w:pPr>
        <w:ind w:left="400"/>
        <w:jc w:val="both"/>
      </w:pPr>
    </w:p>
    <w:p w:rsidR="0076611B" w:rsidRDefault="0076611B" w:rsidP="00E223A1">
      <w:pPr>
        <w:ind w:left="400"/>
        <w:jc w:val="both"/>
      </w:pPr>
      <w:r>
        <w:t>Полное фирменное наименование:</w:t>
      </w:r>
      <w:r>
        <w:rPr>
          <w:rStyle w:val="Subst"/>
          <w:bCs/>
          <w:iCs/>
        </w:rPr>
        <w:t xml:space="preserve"> Коммерческий банк «Хлынов» (акционерное общество)</w:t>
      </w:r>
    </w:p>
    <w:p w:rsidR="0076611B" w:rsidRDefault="0076611B" w:rsidP="00E223A1">
      <w:pPr>
        <w:ind w:left="400"/>
        <w:jc w:val="both"/>
      </w:pPr>
      <w:r>
        <w:t>Сокращенное фирменное наименование:</w:t>
      </w:r>
      <w:r>
        <w:rPr>
          <w:rStyle w:val="Subst"/>
          <w:bCs/>
          <w:iCs/>
        </w:rPr>
        <w:t xml:space="preserve"> АО КБ «Хлынов»</w:t>
      </w:r>
    </w:p>
    <w:p w:rsidR="0076611B" w:rsidRDefault="0076611B" w:rsidP="00E223A1">
      <w:pPr>
        <w:ind w:left="400"/>
        <w:jc w:val="both"/>
      </w:pPr>
      <w:r>
        <w:t>Место нахождения:</w:t>
      </w:r>
      <w:r>
        <w:rPr>
          <w:rStyle w:val="Subst"/>
          <w:bCs/>
          <w:iCs/>
        </w:rPr>
        <w:t xml:space="preserve"> 610002, Кировская </w:t>
      </w:r>
      <w:proofErr w:type="spellStart"/>
      <w:r>
        <w:rPr>
          <w:rStyle w:val="Subst"/>
          <w:bCs/>
          <w:iCs/>
        </w:rPr>
        <w:t>обл</w:t>
      </w:r>
      <w:proofErr w:type="spellEnd"/>
      <w:r>
        <w:rPr>
          <w:rStyle w:val="Subst"/>
          <w:bCs/>
          <w:iCs/>
        </w:rPr>
        <w:t xml:space="preserve">, Киров г, Урицкого </w:t>
      </w:r>
      <w:proofErr w:type="spellStart"/>
      <w:r>
        <w:rPr>
          <w:rStyle w:val="Subst"/>
          <w:bCs/>
          <w:iCs/>
        </w:rPr>
        <w:t>ул</w:t>
      </w:r>
      <w:proofErr w:type="spellEnd"/>
      <w:r>
        <w:rPr>
          <w:rStyle w:val="Subst"/>
          <w:bCs/>
          <w:iCs/>
        </w:rPr>
        <w:t>, 40</w:t>
      </w:r>
    </w:p>
    <w:p w:rsidR="0076611B" w:rsidRDefault="0076611B" w:rsidP="00E223A1">
      <w:pPr>
        <w:ind w:left="400"/>
        <w:jc w:val="both"/>
      </w:pPr>
      <w:r>
        <w:t>ИНН:</w:t>
      </w:r>
      <w:r>
        <w:rPr>
          <w:rStyle w:val="Subst"/>
          <w:bCs/>
          <w:iCs/>
        </w:rPr>
        <w:t xml:space="preserve"> 4346013603</w:t>
      </w:r>
    </w:p>
    <w:p w:rsidR="0076611B" w:rsidRDefault="0076611B" w:rsidP="00E223A1">
      <w:pPr>
        <w:ind w:left="400"/>
        <w:jc w:val="both"/>
      </w:pPr>
      <w:r>
        <w:t>ОГРН:</w:t>
      </w:r>
      <w:r>
        <w:rPr>
          <w:rStyle w:val="Subst"/>
          <w:bCs/>
          <w:iCs/>
        </w:rPr>
        <w:t xml:space="preserve"> 1024300000042</w:t>
      </w:r>
    </w:p>
    <w:p w:rsidR="0076611B" w:rsidRDefault="0076611B" w:rsidP="00E223A1">
      <w:pPr>
        <w:ind w:left="400"/>
        <w:jc w:val="both"/>
      </w:pPr>
      <w:r>
        <w:t>Сумма кредиторской задолженности:</w:t>
      </w:r>
      <w:r>
        <w:rPr>
          <w:rStyle w:val="Subst"/>
          <w:bCs/>
          <w:iCs/>
        </w:rPr>
        <w:t xml:space="preserve"> 115 579.5</w:t>
      </w:r>
    </w:p>
    <w:p w:rsidR="0076611B" w:rsidRDefault="0076611B" w:rsidP="00E223A1">
      <w:pPr>
        <w:ind w:left="400"/>
        <w:jc w:val="both"/>
      </w:pPr>
      <w:r>
        <w:t>Единица измерения:</w:t>
      </w:r>
      <w:r>
        <w:rPr>
          <w:rStyle w:val="Subst"/>
          <w:bCs/>
          <w:iCs/>
        </w:rPr>
        <w:t xml:space="preserve"> тыс. руб.</w:t>
      </w:r>
    </w:p>
    <w:p w:rsidR="0076611B" w:rsidRDefault="0076611B" w:rsidP="00E223A1">
      <w:pPr>
        <w:ind w:left="400"/>
        <w:jc w:val="both"/>
      </w:pPr>
      <w:r>
        <w:t>Доля основного кредитора в объеме кредиторской задолженности, %:</w:t>
      </w:r>
      <w:r>
        <w:rPr>
          <w:rStyle w:val="Subst"/>
          <w:bCs/>
          <w:iCs/>
        </w:rPr>
        <w:t xml:space="preserve"> 11.6</w:t>
      </w:r>
    </w:p>
    <w:p w:rsidR="0076611B" w:rsidRDefault="0076611B" w:rsidP="00E223A1">
      <w:pPr>
        <w:ind w:left="400"/>
        <w:jc w:val="both"/>
      </w:pPr>
      <w:r>
        <w:t>Размер и условия (процентная ставка, размер неустойки) просроченной кредиторской задолженности:</w:t>
      </w:r>
      <w:r>
        <w:br/>
      </w:r>
      <w:r>
        <w:rPr>
          <w:rStyle w:val="Subst"/>
          <w:bCs/>
          <w:iCs/>
        </w:rPr>
        <w:t>Просроченная задолженность отсутствует.</w:t>
      </w:r>
      <w:r>
        <w:rPr>
          <w:rStyle w:val="Subst"/>
          <w:bCs/>
          <w:iCs/>
        </w:rPr>
        <w:br/>
        <w:t>В случае нарушения Заемщиком сроков возврата суммы основного долга, Заемщик наряду с платой процентов за предоставление кредита и его пользование выплачивает Банку повышенные проценты на сумму просроченной задолженности, начиная с даты возникновения просроченной задолженности и по дату фактического погашения этой задолженности включительно по удвоенной процентной ставке.</w:t>
      </w:r>
      <w:r>
        <w:rPr>
          <w:rStyle w:val="Subst"/>
          <w:bCs/>
          <w:iCs/>
        </w:rPr>
        <w:br/>
        <w:t>За нарушение сроков уплаты процентов, Банк вправе потребовать от Заемщика уплаты пени в размере 0,2% от суммы неуплаченных в срок процентов за пользование кредитом за каждый день просрочки платежа по день погашения задолженности включительно.</w:t>
      </w:r>
    </w:p>
    <w:p w:rsidR="0076611B" w:rsidRDefault="0076611B" w:rsidP="00E223A1">
      <w:pPr>
        <w:ind w:left="400"/>
        <w:jc w:val="both"/>
      </w:pPr>
      <w:r>
        <w:rPr>
          <w:rStyle w:val="Subst"/>
          <w:bCs/>
          <w:iCs/>
        </w:rPr>
        <w:t>Кредиторская задолженность возникла в связи с заключением кредитного договора (договора займа)</w:t>
      </w:r>
    </w:p>
    <w:p w:rsidR="0076611B" w:rsidRDefault="0076611B" w:rsidP="00E223A1">
      <w:pPr>
        <w:ind w:left="400"/>
        <w:jc w:val="both"/>
      </w:pPr>
      <w:r>
        <w:t>Дата заключения кредитного договора (договора займа):</w:t>
      </w:r>
      <w:r>
        <w:rPr>
          <w:rStyle w:val="Subst"/>
          <w:bCs/>
          <w:iCs/>
        </w:rPr>
        <w:t xml:space="preserve"> Кредитный договор №25-2024Ю60 от 27.08.2024 г. (возобновляемая кредитная линия со сроком транша).</w:t>
      </w:r>
    </w:p>
    <w:p w:rsidR="0076611B" w:rsidRDefault="0076611B" w:rsidP="00E223A1">
      <w:pPr>
        <w:ind w:left="400"/>
        <w:jc w:val="both"/>
      </w:pPr>
      <w:r>
        <w:t>Дата прекращения кредитного договора (договора займа), в том числе в связи с его исполнением:</w:t>
      </w:r>
      <w:r>
        <w:rPr>
          <w:rStyle w:val="Subst"/>
          <w:bCs/>
          <w:iCs/>
        </w:rPr>
        <w:t xml:space="preserve"> 26.08.2025 г.</w:t>
      </w:r>
    </w:p>
    <w:p w:rsidR="0076611B" w:rsidRDefault="0076611B" w:rsidP="00E223A1">
      <w:pPr>
        <w:ind w:left="400"/>
        <w:jc w:val="both"/>
      </w:pPr>
      <w:r>
        <w:t>Основной кредитор не является организацией, подконтрольной члену органов управления эмитента и (или)</w:t>
      </w:r>
      <w:r w:rsidR="00280853">
        <w:t xml:space="preserve"> лицу, контролирующему эмитента</w:t>
      </w:r>
    </w:p>
    <w:p w:rsidR="0076611B" w:rsidRDefault="0076611B" w:rsidP="00E223A1">
      <w:pPr>
        <w:pStyle w:val="SubHeading"/>
        <w:ind w:left="200"/>
        <w:jc w:val="both"/>
      </w:pPr>
      <w:r>
        <w:t>Иные кредиторы, имеющие для эмитента существенное значение</w:t>
      </w:r>
    </w:p>
    <w:p w:rsidR="0076611B" w:rsidRDefault="0076611B" w:rsidP="003979C3">
      <w:pPr>
        <w:pStyle w:val="SubHeading"/>
        <w:spacing w:before="0"/>
        <w:ind w:left="200"/>
        <w:jc w:val="both"/>
      </w:pPr>
      <w:r w:rsidRPr="003979C3">
        <w:rPr>
          <w:b/>
          <w:i/>
        </w:rPr>
        <w:t>Иных кредиторов, имеющих для эмитента существенное значение, нет</w:t>
      </w:r>
    </w:p>
    <w:p w:rsidR="0076611B" w:rsidRDefault="0076611B" w:rsidP="00E223A1">
      <w:pPr>
        <w:pStyle w:val="2"/>
        <w:jc w:val="both"/>
      </w:pPr>
      <w:bookmarkStart w:id="17" w:name="_Toc196398458"/>
      <w:r>
        <w:t>1.7.2. Сведения об обязательствах эмитента из предоставленного обеспечения</w:t>
      </w:r>
      <w:bookmarkEnd w:id="17"/>
    </w:p>
    <w:p w:rsidR="0076611B" w:rsidRDefault="0076611B" w:rsidP="00E223A1">
      <w:pPr>
        <w:ind w:left="200"/>
        <w:jc w:val="both"/>
      </w:pPr>
      <w:r>
        <w:lastRenderedPageBreak/>
        <w:t>Информация настоящего пункта раскрывается на основе данных финансовой отчётности</w:t>
      </w:r>
    </w:p>
    <w:p w:rsidR="0076611B" w:rsidRDefault="0076611B" w:rsidP="00E223A1">
      <w:pPr>
        <w:ind w:left="200"/>
        <w:jc w:val="both"/>
      </w:pPr>
      <w:r>
        <w:t>Единица измерения:</w:t>
      </w:r>
      <w:r>
        <w:rPr>
          <w:rStyle w:val="Subst"/>
          <w:bCs/>
          <w:iCs/>
        </w:rPr>
        <w:t xml:space="preserve"> тыс. руб.</w:t>
      </w:r>
    </w:p>
    <w:p w:rsidR="0076611B" w:rsidRDefault="0076611B" w:rsidP="00E223A1">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6611B">
        <w:tc>
          <w:tcPr>
            <w:tcW w:w="5572"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76611B" w:rsidRDefault="00280853" w:rsidP="00E223A1">
            <w:pPr>
              <w:jc w:val="both"/>
            </w:pPr>
            <w:r>
              <w:t xml:space="preserve">На </w:t>
            </w:r>
            <w:r w:rsidR="0076611B">
              <w:t>31.12.2024 г.</w:t>
            </w:r>
          </w:p>
        </w:tc>
      </w:tr>
      <w:tr w:rsidR="0076611B">
        <w:tc>
          <w:tcPr>
            <w:tcW w:w="557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Размер предоставленного эмитентом обеспечения</w:t>
            </w:r>
          </w:p>
        </w:tc>
        <w:tc>
          <w:tcPr>
            <w:tcW w:w="36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0</w:t>
            </w:r>
          </w:p>
        </w:tc>
      </w:tr>
      <w:tr w:rsidR="0076611B">
        <w:tc>
          <w:tcPr>
            <w:tcW w:w="557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 в том числе в форме залога:</w:t>
            </w:r>
          </w:p>
        </w:tc>
        <w:tc>
          <w:tcPr>
            <w:tcW w:w="36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0</w:t>
            </w:r>
          </w:p>
        </w:tc>
      </w:tr>
      <w:tr w:rsidR="0076611B">
        <w:tc>
          <w:tcPr>
            <w:tcW w:w="557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 в том числе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0</w:t>
            </w:r>
          </w:p>
        </w:tc>
      </w:tr>
      <w:tr w:rsidR="0076611B">
        <w:tc>
          <w:tcPr>
            <w:tcW w:w="557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 в том числе в форме независимой гарантии:</w:t>
            </w:r>
          </w:p>
        </w:tc>
        <w:tc>
          <w:tcPr>
            <w:tcW w:w="3680"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0</w:t>
            </w:r>
          </w:p>
        </w:tc>
      </w:tr>
    </w:tbl>
    <w:p w:rsidR="0076611B" w:rsidRDefault="0076611B" w:rsidP="00E223A1">
      <w:pPr>
        <w:jc w:val="both"/>
      </w:pPr>
    </w:p>
    <w:p w:rsidR="0076611B" w:rsidRDefault="0076611B" w:rsidP="00E223A1">
      <w:pPr>
        <w:ind w:left="200"/>
        <w:jc w:val="both"/>
      </w:pPr>
      <w:r>
        <w:t>Уровень существенности размера предоставленного обеспечения:</w:t>
      </w:r>
      <w:r>
        <w:rPr>
          <w:rStyle w:val="Subst"/>
          <w:bCs/>
          <w:iCs/>
        </w:rPr>
        <w:t xml:space="preserve"> 10%</w:t>
      </w:r>
    </w:p>
    <w:p w:rsidR="0076611B" w:rsidRDefault="0076611B" w:rsidP="00E223A1">
      <w:pPr>
        <w:pStyle w:val="SubHeading"/>
        <w:ind w:left="200"/>
        <w:jc w:val="both"/>
      </w:pPr>
      <w:r>
        <w:t>Сделки по предоставлению обеспечения, имеющие для эмитента (группы эмитента) существенное значение</w:t>
      </w:r>
    </w:p>
    <w:p w:rsidR="0076611B" w:rsidRDefault="0076611B" w:rsidP="00E223A1">
      <w:pPr>
        <w:ind w:left="400"/>
        <w:jc w:val="both"/>
      </w:pPr>
      <w:r>
        <w:rPr>
          <w:rStyle w:val="Subst"/>
          <w:bCs/>
          <w:iCs/>
        </w:rPr>
        <w:t>Указанных сделок нет</w:t>
      </w:r>
    </w:p>
    <w:p w:rsidR="0076611B" w:rsidRDefault="0076611B" w:rsidP="00E223A1">
      <w:pPr>
        <w:pStyle w:val="2"/>
        <w:jc w:val="both"/>
      </w:pPr>
      <w:bookmarkStart w:id="18" w:name="_Toc196398459"/>
      <w:r>
        <w:t>1.7.3. Сведения о прочих существенных обязательствах эмитента</w:t>
      </w:r>
      <w:bookmarkEnd w:id="18"/>
    </w:p>
    <w:p w:rsidR="0076611B" w:rsidRDefault="0076611B" w:rsidP="00E223A1">
      <w:pPr>
        <w:ind w:left="200"/>
        <w:jc w:val="both"/>
      </w:pPr>
      <w:r>
        <w:rPr>
          <w:rStyle w:val="Subst"/>
          <w:bCs/>
          <w:iCs/>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p>
    <w:p w:rsidR="0076611B" w:rsidRDefault="0076611B" w:rsidP="00E223A1">
      <w:pPr>
        <w:pStyle w:val="2"/>
        <w:jc w:val="both"/>
      </w:pPr>
      <w:bookmarkStart w:id="19" w:name="_Toc196398460"/>
      <w:r>
        <w:t>1.8. Сведения о перспективах развития эмитента</w:t>
      </w:r>
      <w:bookmarkEnd w:id="19"/>
    </w:p>
    <w:p w:rsidR="0076611B" w:rsidRDefault="0076611B" w:rsidP="00E223A1">
      <w:pPr>
        <w:ind w:left="200"/>
        <w:jc w:val="both"/>
      </w:pPr>
      <w: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1B7D1D" w:rsidRDefault="0076611B" w:rsidP="00E223A1">
      <w:pPr>
        <w:ind w:left="200"/>
        <w:jc w:val="both"/>
        <w:rPr>
          <w:rStyle w:val="Subst"/>
          <w:bCs/>
          <w:iCs/>
        </w:rPr>
      </w:pPr>
      <w:r>
        <w:rPr>
          <w:rStyle w:val="Subst"/>
          <w:bCs/>
          <w:iCs/>
        </w:rPr>
        <w:t>В настоящее время разработан и утвержден бизнес-план Общества на 2025 г., который включает в себя достижение следующих финансово-экономических показателей:</w:t>
      </w:r>
      <w:r>
        <w:rPr>
          <w:rStyle w:val="Subst"/>
          <w:bCs/>
          <w:iCs/>
        </w:rPr>
        <w:br/>
      </w:r>
    </w:p>
    <w:p w:rsidR="001B7D1D" w:rsidRDefault="001B7D1D" w:rsidP="001B7D1D">
      <w:pPr>
        <w:tabs>
          <w:tab w:val="left" w:pos="0"/>
          <w:tab w:val="left" w:pos="709"/>
        </w:tabs>
        <w:spacing w:after="240"/>
        <w:jc w:val="right"/>
        <w:rPr>
          <w:b/>
        </w:rPr>
      </w:pPr>
      <w:r w:rsidRPr="00227387">
        <w:rPr>
          <w:b/>
        </w:rPr>
        <w:t>Табл. 2.1. Фактические значения (перечень показателей) за 2024 год</w:t>
      </w:r>
    </w:p>
    <w:p w:rsidR="001B7D1D" w:rsidRPr="001B7D1D" w:rsidRDefault="001B7D1D" w:rsidP="001B7D1D">
      <w:pPr>
        <w:tabs>
          <w:tab w:val="left" w:pos="0"/>
          <w:tab w:val="left" w:pos="709"/>
        </w:tabs>
        <w:spacing w:after="240"/>
        <w:jc w:val="right"/>
        <w:rPr>
          <w:rStyle w:val="Subst"/>
          <w:i w:val="0"/>
        </w:rPr>
      </w:pPr>
      <w:r w:rsidRPr="00227387">
        <w:rPr>
          <w:b/>
        </w:rPr>
        <w:t xml:space="preserve"> и плановые значения на 2025 год</w:t>
      </w:r>
    </w:p>
    <w:tbl>
      <w:tblPr>
        <w:tblW w:w="9072" w:type="dxa"/>
        <w:tblInd w:w="108" w:type="dxa"/>
        <w:tblLook w:val="04A0" w:firstRow="1" w:lastRow="0" w:firstColumn="1" w:lastColumn="0" w:noHBand="0" w:noVBand="1"/>
      </w:tblPr>
      <w:tblGrid>
        <w:gridCol w:w="3851"/>
        <w:gridCol w:w="2552"/>
        <w:gridCol w:w="2669"/>
      </w:tblGrid>
      <w:tr w:rsidR="001B7D1D" w:rsidRPr="00227387" w:rsidTr="00753B74">
        <w:trPr>
          <w:trHeight w:val="360"/>
        </w:trPr>
        <w:tc>
          <w:tcPr>
            <w:tcW w:w="3851" w:type="dxa"/>
            <w:tcBorders>
              <w:top w:val="single" w:sz="8" w:space="0" w:color="auto"/>
              <w:left w:val="single" w:sz="8" w:space="0" w:color="auto"/>
              <w:bottom w:val="single" w:sz="8" w:space="0" w:color="auto"/>
              <w:right w:val="single" w:sz="8" w:space="0" w:color="auto"/>
            </w:tcBorders>
            <w:hideMark/>
          </w:tcPr>
          <w:p w:rsidR="001B7D1D" w:rsidRPr="00227387" w:rsidRDefault="001B7D1D" w:rsidP="00CB294C">
            <w:pPr>
              <w:spacing w:line="256" w:lineRule="auto"/>
              <w:jc w:val="center"/>
              <w:rPr>
                <w:b/>
                <w:bCs/>
                <w:lang w:eastAsia="en-US"/>
              </w:rPr>
            </w:pPr>
            <w:r w:rsidRPr="00227387">
              <w:rPr>
                <w:b/>
                <w:bCs/>
                <w:lang w:eastAsia="en-US"/>
              </w:rPr>
              <w:t>Наименование показателя</w:t>
            </w:r>
          </w:p>
        </w:tc>
        <w:tc>
          <w:tcPr>
            <w:tcW w:w="2552" w:type="dxa"/>
            <w:tcBorders>
              <w:top w:val="single" w:sz="8" w:space="0" w:color="auto"/>
              <w:left w:val="nil"/>
              <w:bottom w:val="single" w:sz="8" w:space="0" w:color="auto"/>
              <w:right w:val="single" w:sz="8" w:space="0" w:color="auto"/>
            </w:tcBorders>
            <w:hideMark/>
          </w:tcPr>
          <w:p w:rsidR="001B7D1D" w:rsidRPr="00227387" w:rsidRDefault="001B7D1D" w:rsidP="00CB294C">
            <w:pPr>
              <w:spacing w:line="256" w:lineRule="auto"/>
              <w:jc w:val="center"/>
              <w:rPr>
                <w:b/>
                <w:bCs/>
                <w:lang w:eastAsia="en-US"/>
              </w:rPr>
            </w:pPr>
            <w:r w:rsidRPr="00227387">
              <w:rPr>
                <w:b/>
                <w:bCs/>
                <w:lang w:eastAsia="en-US"/>
              </w:rPr>
              <w:t>Отчетный год</w:t>
            </w:r>
          </w:p>
        </w:tc>
        <w:tc>
          <w:tcPr>
            <w:tcW w:w="2669" w:type="dxa"/>
            <w:tcBorders>
              <w:top w:val="single" w:sz="8" w:space="0" w:color="auto"/>
              <w:left w:val="nil"/>
              <w:bottom w:val="single" w:sz="8" w:space="0" w:color="auto"/>
              <w:right w:val="single" w:sz="8" w:space="0" w:color="auto"/>
            </w:tcBorders>
            <w:hideMark/>
          </w:tcPr>
          <w:p w:rsidR="001B7D1D" w:rsidRPr="00227387" w:rsidRDefault="001B7D1D" w:rsidP="00CB294C">
            <w:pPr>
              <w:spacing w:line="256" w:lineRule="auto"/>
              <w:jc w:val="center"/>
              <w:rPr>
                <w:b/>
                <w:bCs/>
                <w:lang w:eastAsia="en-US"/>
              </w:rPr>
            </w:pPr>
            <w:r w:rsidRPr="00227387">
              <w:rPr>
                <w:b/>
                <w:bCs/>
                <w:lang w:eastAsia="en-US"/>
              </w:rPr>
              <w:t>2025 год</w:t>
            </w:r>
          </w:p>
        </w:tc>
      </w:tr>
      <w:tr w:rsidR="001B7D1D" w:rsidRPr="00227387" w:rsidTr="00753B74">
        <w:trPr>
          <w:trHeight w:val="585"/>
        </w:trPr>
        <w:tc>
          <w:tcPr>
            <w:tcW w:w="3851" w:type="dxa"/>
            <w:vMerge w:val="restart"/>
            <w:tcBorders>
              <w:top w:val="nil"/>
              <w:left w:val="single" w:sz="8" w:space="0" w:color="auto"/>
              <w:bottom w:val="single" w:sz="8" w:space="0" w:color="000000"/>
              <w:right w:val="single" w:sz="8" w:space="0" w:color="auto"/>
            </w:tcBorders>
            <w:hideMark/>
          </w:tcPr>
          <w:p w:rsidR="001B7D1D" w:rsidRPr="00227387" w:rsidRDefault="001B7D1D" w:rsidP="00CB294C">
            <w:pPr>
              <w:spacing w:line="256" w:lineRule="auto"/>
              <w:rPr>
                <w:lang w:eastAsia="en-US"/>
              </w:rPr>
            </w:pPr>
            <w:r w:rsidRPr="00227387">
              <w:rPr>
                <w:lang w:eastAsia="en-US"/>
              </w:rPr>
              <w:t>Объём продаж (выручка)</w:t>
            </w:r>
          </w:p>
        </w:tc>
        <w:tc>
          <w:tcPr>
            <w:tcW w:w="2552" w:type="dxa"/>
            <w:tcBorders>
              <w:top w:val="nil"/>
              <w:left w:val="nil"/>
              <w:bottom w:val="nil"/>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 xml:space="preserve">1 439,1 млн. </w:t>
            </w:r>
            <w:proofErr w:type="spellStart"/>
            <w:r w:rsidRPr="00227387">
              <w:rPr>
                <w:lang w:eastAsia="en-US"/>
              </w:rPr>
              <w:t>кВтч</w:t>
            </w:r>
            <w:proofErr w:type="spellEnd"/>
            <w:r w:rsidRPr="00227387">
              <w:rPr>
                <w:lang w:eastAsia="en-US"/>
              </w:rPr>
              <w:t>/</w:t>
            </w:r>
          </w:p>
        </w:tc>
        <w:tc>
          <w:tcPr>
            <w:tcW w:w="2669" w:type="dxa"/>
            <w:tcBorders>
              <w:top w:val="nil"/>
              <w:left w:val="nil"/>
              <w:bottom w:val="nil"/>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 xml:space="preserve">1 426,1 млн. </w:t>
            </w:r>
            <w:proofErr w:type="spellStart"/>
            <w:r w:rsidRPr="00227387">
              <w:rPr>
                <w:lang w:eastAsia="en-US"/>
              </w:rPr>
              <w:t>кВтч</w:t>
            </w:r>
            <w:proofErr w:type="spellEnd"/>
            <w:r w:rsidRPr="00227387">
              <w:rPr>
                <w:lang w:eastAsia="en-US"/>
              </w:rPr>
              <w:t>/</w:t>
            </w:r>
          </w:p>
        </w:tc>
      </w:tr>
      <w:tr w:rsidR="001B7D1D" w:rsidRPr="00227387" w:rsidTr="00753B74">
        <w:trPr>
          <w:trHeight w:val="330"/>
        </w:trPr>
        <w:tc>
          <w:tcPr>
            <w:tcW w:w="3851" w:type="dxa"/>
            <w:vMerge/>
            <w:tcBorders>
              <w:top w:val="nil"/>
              <w:left w:val="single" w:sz="8" w:space="0" w:color="auto"/>
              <w:bottom w:val="single" w:sz="8" w:space="0" w:color="000000"/>
              <w:right w:val="single" w:sz="8" w:space="0" w:color="auto"/>
            </w:tcBorders>
            <w:vAlign w:val="center"/>
            <w:hideMark/>
          </w:tcPr>
          <w:p w:rsidR="001B7D1D" w:rsidRPr="00227387" w:rsidRDefault="001B7D1D" w:rsidP="00CB294C">
            <w:pPr>
              <w:spacing w:line="256" w:lineRule="auto"/>
              <w:rPr>
                <w:lang w:eastAsia="en-US"/>
              </w:rPr>
            </w:pPr>
          </w:p>
        </w:tc>
        <w:tc>
          <w:tcPr>
            <w:tcW w:w="2552" w:type="dxa"/>
            <w:tcBorders>
              <w:top w:val="nil"/>
              <w:left w:val="nil"/>
              <w:bottom w:val="single" w:sz="8" w:space="0" w:color="auto"/>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8 354,1 млн. руб.</w:t>
            </w:r>
          </w:p>
        </w:tc>
        <w:tc>
          <w:tcPr>
            <w:tcW w:w="2669" w:type="dxa"/>
            <w:tcBorders>
              <w:top w:val="nil"/>
              <w:left w:val="nil"/>
              <w:bottom w:val="single" w:sz="8" w:space="0" w:color="auto"/>
              <w:right w:val="single" w:sz="8" w:space="0" w:color="auto"/>
            </w:tcBorders>
            <w:hideMark/>
          </w:tcPr>
          <w:p w:rsidR="001B7D1D" w:rsidRPr="00227387" w:rsidRDefault="00753B74" w:rsidP="00CB294C">
            <w:pPr>
              <w:spacing w:line="256" w:lineRule="auto"/>
              <w:jc w:val="center"/>
              <w:rPr>
                <w:lang w:eastAsia="en-US"/>
              </w:rPr>
            </w:pPr>
            <w:r>
              <w:rPr>
                <w:lang w:eastAsia="en-US"/>
              </w:rPr>
              <w:t>9 665,3</w:t>
            </w:r>
            <w:r w:rsidR="001B7D1D" w:rsidRPr="00227387">
              <w:rPr>
                <w:lang w:eastAsia="en-US"/>
              </w:rPr>
              <w:t xml:space="preserve"> млн.</w:t>
            </w:r>
            <w:r>
              <w:rPr>
                <w:lang w:eastAsia="en-US"/>
              </w:rPr>
              <w:t xml:space="preserve"> </w:t>
            </w:r>
            <w:r w:rsidR="001B7D1D" w:rsidRPr="00227387">
              <w:rPr>
                <w:lang w:eastAsia="en-US"/>
              </w:rPr>
              <w:t>руб.</w:t>
            </w:r>
          </w:p>
        </w:tc>
      </w:tr>
      <w:tr w:rsidR="001B7D1D" w:rsidRPr="00227387" w:rsidTr="00753B74">
        <w:trPr>
          <w:trHeight w:val="387"/>
        </w:trPr>
        <w:tc>
          <w:tcPr>
            <w:tcW w:w="3851" w:type="dxa"/>
            <w:tcBorders>
              <w:top w:val="nil"/>
              <w:left w:val="single" w:sz="8" w:space="0" w:color="auto"/>
              <w:bottom w:val="single" w:sz="8" w:space="0" w:color="auto"/>
              <w:right w:val="single" w:sz="8" w:space="0" w:color="auto"/>
            </w:tcBorders>
            <w:hideMark/>
          </w:tcPr>
          <w:p w:rsidR="001B7D1D" w:rsidRPr="00227387" w:rsidRDefault="001B7D1D" w:rsidP="00CB294C">
            <w:pPr>
              <w:spacing w:line="256" w:lineRule="auto"/>
              <w:rPr>
                <w:lang w:eastAsia="en-US"/>
              </w:rPr>
            </w:pPr>
            <w:r w:rsidRPr="00227387">
              <w:rPr>
                <w:lang w:eastAsia="en-US"/>
              </w:rPr>
              <w:t>Производительность труда, тыс. руб./чел.</w:t>
            </w:r>
          </w:p>
        </w:tc>
        <w:tc>
          <w:tcPr>
            <w:tcW w:w="2552" w:type="dxa"/>
            <w:tcBorders>
              <w:top w:val="nil"/>
              <w:left w:val="nil"/>
              <w:bottom w:val="single" w:sz="8" w:space="0" w:color="auto"/>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21 221,1</w:t>
            </w:r>
          </w:p>
        </w:tc>
        <w:tc>
          <w:tcPr>
            <w:tcW w:w="2669" w:type="dxa"/>
            <w:tcBorders>
              <w:top w:val="nil"/>
              <w:left w:val="nil"/>
              <w:bottom w:val="single" w:sz="8" w:space="0" w:color="auto"/>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24 531,2</w:t>
            </w:r>
          </w:p>
        </w:tc>
      </w:tr>
      <w:tr w:rsidR="001B7D1D" w:rsidRPr="00227387" w:rsidTr="00753B74">
        <w:trPr>
          <w:trHeight w:val="360"/>
        </w:trPr>
        <w:tc>
          <w:tcPr>
            <w:tcW w:w="3851" w:type="dxa"/>
            <w:tcBorders>
              <w:top w:val="nil"/>
              <w:left w:val="single" w:sz="8" w:space="0" w:color="auto"/>
              <w:bottom w:val="single" w:sz="8" w:space="0" w:color="auto"/>
              <w:right w:val="single" w:sz="8" w:space="0" w:color="auto"/>
            </w:tcBorders>
            <w:hideMark/>
          </w:tcPr>
          <w:p w:rsidR="001B7D1D" w:rsidRPr="00227387" w:rsidRDefault="001B7D1D" w:rsidP="00CB294C">
            <w:pPr>
              <w:spacing w:line="256" w:lineRule="auto"/>
              <w:rPr>
                <w:lang w:eastAsia="en-US"/>
              </w:rPr>
            </w:pPr>
            <w:r w:rsidRPr="00227387">
              <w:rPr>
                <w:lang w:eastAsia="en-US"/>
              </w:rPr>
              <w:t>Прибыль, млн. руб.</w:t>
            </w:r>
          </w:p>
        </w:tc>
        <w:tc>
          <w:tcPr>
            <w:tcW w:w="2552" w:type="dxa"/>
            <w:tcBorders>
              <w:top w:val="nil"/>
              <w:left w:val="nil"/>
              <w:bottom w:val="single" w:sz="8" w:space="0" w:color="auto"/>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219,1</w:t>
            </w:r>
          </w:p>
        </w:tc>
        <w:tc>
          <w:tcPr>
            <w:tcW w:w="2669" w:type="dxa"/>
            <w:tcBorders>
              <w:top w:val="nil"/>
              <w:left w:val="nil"/>
              <w:bottom w:val="single" w:sz="8" w:space="0" w:color="auto"/>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216,2</w:t>
            </w:r>
          </w:p>
        </w:tc>
      </w:tr>
      <w:tr w:rsidR="001B7D1D" w:rsidRPr="00227387" w:rsidTr="00753B74">
        <w:trPr>
          <w:trHeight w:val="600"/>
        </w:trPr>
        <w:tc>
          <w:tcPr>
            <w:tcW w:w="3851" w:type="dxa"/>
            <w:tcBorders>
              <w:top w:val="nil"/>
              <w:left w:val="single" w:sz="8" w:space="0" w:color="auto"/>
              <w:bottom w:val="single" w:sz="8" w:space="0" w:color="auto"/>
              <w:right w:val="single" w:sz="8" w:space="0" w:color="auto"/>
            </w:tcBorders>
            <w:hideMark/>
          </w:tcPr>
          <w:p w:rsidR="001B7D1D" w:rsidRPr="00227387" w:rsidRDefault="001B7D1D" w:rsidP="00CB294C">
            <w:pPr>
              <w:spacing w:line="256" w:lineRule="auto"/>
              <w:rPr>
                <w:lang w:eastAsia="en-US"/>
              </w:rPr>
            </w:pPr>
            <w:r w:rsidRPr="00227387">
              <w:rPr>
                <w:lang w:eastAsia="en-US"/>
              </w:rPr>
              <w:t>Соотношение собственных и заемных средств</w:t>
            </w:r>
          </w:p>
        </w:tc>
        <w:tc>
          <w:tcPr>
            <w:tcW w:w="2552" w:type="dxa"/>
            <w:tcBorders>
              <w:top w:val="nil"/>
              <w:left w:val="nil"/>
              <w:bottom w:val="single" w:sz="8" w:space="0" w:color="auto"/>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0,5</w:t>
            </w:r>
          </w:p>
        </w:tc>
        <w:tc>
          <w:tcPr>
            <w:tcW w:w="2669" w:type="dxa"/>
            <w:tcBorders>
              <w:top w:val="nil"/>
              <w:left w:val="nil"/>
              <w:bottom w:val="single" w:sz="8" w:space="0" w:color="auto"/>
              <w:right w:val="single" w:sz="8" w:space="0" w:color="auto"/>
            </w:tcBorders>
            <w:hideMark/>
          </w:tcPr>
          <w:p w:rsidR="001B7D1D" w:rsidRPr="00227387" w:rsidRDefault="001B7D1D" w:rsidP="00CB294C">
            <w:pPr>
              <w:spacing w:line="256" w:lineRule="auto"/>
              <w:jc w:val="center"/>
              <w:rPr>
                <w:lang w:eastAsia="en-US"/>
              </w:rPr>
            </w:pPr>
            <w:r w:rsidRPr="00227387">
              <w:rPr>
                <w:lang w:eastAsia="en-US"/>
              </w:rPr>
              <w:t>0,5</w:t>
            </w:r>
          </w:p>
        </w:tc>
      </w:tr>
    </w:tbl>
    <w:p w:rsidR="0076611B" w:rsidRDefault="0076611B" w:rsidP="00E223A1">
      <w:pPr>
        <w:ind w:left="200"/>
        <w:jc w:val="both"/>
      </w:pPr>
      <w:r>
        <w:rPr>
          <w:rStyle w:val="Subst"/>
          <w:bCs/>
          <w:iCs/>
        </w:rPr>
        <w:t xml:space="preserve"> </w:t>
      </w:r>
      <w:r>
        <w:rPr>
          <w:rStyle w:val="Subst"/>
          <w:bCs/>
          <w:iCs/>
        </w:rPr>
        <w:br/>
        <w:t>Приоритетными направлениями деятельности ПАО «Мордовская энергосбытовая компания» в 2025 году являются:</w:t>
      </w:r>
      <w:r>
        <w:rPr>
          <w:rStyle w:val="Subst"/>
          <w:bCs/>
          <w:iCs/>
        </w:rPr>
        <w:br/>
        <w:t>- выполнение основных финансово-экономических и производственных показателей Общества;</w:t>
      </w:r>
      <w:r>
        <w:rPr>
          <w:rStyle w:val="Subst"/>
          <w:bCs/>
          <w:iCs/>
        </w:rPr>
        <w:br/>
        <w:t>- совершенствование качества обслуживания клиентов, в том числе, путем внедрения современных технологий и процессов.</w:t>
      </w:r>
      <w:r>
        <w:rPr>
          <w:rStyle w:val="Subst"/>
          <w:bCs/>
          <w:iCs/>
        </w:rPr>
        <w:br/>
      </w:r>
      <w:r>
        <w:rPr>
          <w:rStyle w:val="Subst"/>
          <w:bCs/>
          <w:iCs/>
        </w:rPr>
        <w:br/>
        <w:t xml:space="preserve">Стратегия развития ПАО «Мордовская энергосбытовая компания» включает в себя следующие мероприятия: </w:t>
      </w:r>
      <w:r>
        <w:rPr>
          <w:rStyle w:val="Subst"/>
          <w:bCs/>
          <w:iCs/>
        </w:rPr>
        <w:br/>
        <w:t>- сохранение статуса субъекта оптового рынка и статуса гарантирующего поставщика на территории Республики Мордовия.</w:t>
      </w:r>
      <w:r>
        <w:rPr>
          <w:rStyle w:val="Subst"/>
          <w:bCs/>
          <w:iCs/>
        </w:rPr>
        <w:br/>
        <w:t>- сохранение и развитие клиентской базы;</w:t>
      </w:r>
      <w:r>
        <w:rPr>
          <w:rStyle w:val="Subst"/>
          <w:bCs/>
          <w:iCs/>
        </w:rPr>
        <w:br/>
      </w:r>
      <w:r>
        <w:rPr>
          <w:rStyle w:val="Subst"/>
          <w:bCs/>
          <w:iCs/>
        </w:rPr>
        <w:lastRenderedPageBreak/>
        <w:t>- обеспечение бесперебойного, качественного и надёжного энергоснабжения потребителей на территории Республики Мордовия;</w:t>
      </w:r>
      <w:r>
        <w:rPr>
          <w:rStyle w:val="Subst"/>
          <w:bCs/>
          <w:iCs/>
        </w:rPr>
        <w:br/>
        <w:t>- расширение присутствия в иных регионах в качестве независимой энергосбытовой компании;</w:t>
      </w:r>
      <w:r>
        <w:rPr>
          <w:rStyle w:val="Subst"/>
          <w:bCs/>
          <w:iCs/>
        </w:rPr>
        <w:br/>
        <w:t>- повышение качества обслуживания потребителей, основанное на использовании новейших технологий работы с клиентами, в том числе, развитие новых инструментов и технологий работы с клиентами;</w:t>
      </w:r>
      <w:r>
        <w:rPr>
          <w:rStyle w:val="Subst"/>
          <w:bCs/>
          <w:iCs/>
        </w:rPr>
        <w:br/>
        <w:t>- обеспечение максимального перехода на работу с потребителями с использованием современных сервисов заочного обслуживания;</w:t>
      </w:r>
      <w:r>
        <w:rPr>
          <w:rStyle w:val="Subst"/>
          <w:bCs/>
          <w:iCs/>
        </w:rPr>
        <w:br/>
        <w:t>- реализация мероприятий по приобретению, установке и эксплуатации оборудования интеллектуальных систем учета в многоквартирных домах, а также по поддержанию системы учета в актуальном состоянии в соответствии с техническими требованиями оптового рынка электроэнергии и мощности;</w:t>
      </w:r>
      <w:r>
        <w:rPr>
          <w:rStyle w:val="Subst"/>
          <w:bCs/>
          <w:iCs/>
        </w:rPr>
        <w:br/>
        <w:t>- реализация мероприятий, направленных на снижение дебиторской задолженности;</w:t>
      </w:r>
      <w:r>
        <w:rPr>
          <w:rStyle w:val="Subst"/>
          <w:bCs/>
          <w:iCs/>
        </w:rPr>
        <w:br/>
        <w:t>- сохранение финансовой устойчивости компании и партнерских отношений с кредитными организациями;</w:t>
      </w:r>
      <w:r>
        <w:rPr>
          <w:rStyle w:val="Subst"/>
          <w:bCs/>
          <w:iCs/>
        </w:rPr>
        <w:br/>
        <w:t>- обеспечение баланса экономических интересов Общества и потребителей электрической энергии.</w:t>
      </w:r>
      <w:r>
        <w:rPr>
          <w:rStyle w:val="Subst"/>
          <w:bCs/>
          <w:iCs/>
        </w:rPr>
        <w:br/>
      </w:r>
      <w:r>
        <w:rPr>
          <w:rStyle w:val="Subst"/>
          <w:bCs/>
          <w:iCs/>
        </w:rPr>
        <w:br/>
        <w:t>Проведение вышеуказанных мероприятий позволит Обществу сохранить и усилить собственные рыночные позиции, улучшить уровень и качество обслуживания клиентов, сократить и оптимизировать структуру издержек Общества, повысить степень технической, информационной оснащённости.</w:t>
      </w:r>
      <w:r>
        <w:rPr>
          <w:rStyle w:val="Subst"/>
          <w:bCs/>
          <w:iCs/>
        </w:rPr>
        <w:br/>
      </w:r>
      <w:r>
        <w:rPr>
          <w:rStyle w:val="Subst"/>
          <w:bCs/>
          <w:iCs/>
        </w:rPr>
        <w:br/>
        <w:t>Общество планирует и в дальнейшем осуществлять свою основную деятельность по купле-продаже электроэнергии для промышленных и бытовых потребител</w:t>
      </w:r>
      <w:r w:rsidR="00566DC0">
        <w:rPr>
          <w:rStyle w:val="Subst"/>
          <w:bCs/>
          <w:iCs/>
        </w:rPr>
        <w:t>ей. Основным источником дохода О</w:t>
      </w:r>
      <w:r>
        <w:rPr>
          <w:rStyle w:val="Subst"/>
          <w:bCs/>
          <w:iCs/>
        </w:rPr>
        <w:t>бщества является сбытовая надбавка при реализации электроэнергии (мощности) по установленным регулирующим органом сбытовым надбавкам на реализацию электроэнергии с дифференциацией по группам потребителей. Обществом ведется активная работа по расширению территории присутствия за пределами Республики Мордовия. В 2024 г. ПАО «Мордовская энергосбытовая компания» осуществляло энергоснабжение потребителей на территориях Московской, Нижегородской и Пензенской областей, а также на территории республики Чувашия в качестве независимой сбытовой компании. Планируется дальнейшее расширение продажи электроэнергии сторонним потребителям вне Республики Мордовия.</w:t>
      </w:r>
      <w:r>
        <w:rPr>
          <w:rStyle w:val="Subst"/>
          <w:bCs/>
          <w:iCs/>
        </w:rPr>
        <w:br/>
      </w:r>
      <w:r>
        <w:rPr>
          <w:rStyle w:val="Subst"/>
          <w:bCs/>
          <w:iCs/>
        </w:rPr>
        <w:br/>
        <w:t>Приказом Государственного комитета по тарифам Республики Мордовия № 94 от 23 сентября 2024 г. «О внесении изменений в приказ Государственного комитета по тарифам Республики Мордовия от 22 ноября 2023 г. № 203 «Об утверждении инвестиционной программы ПАО «Мордовская энергосбытовая компания» на 2024 – 2026 годы и изменений, вносимых в инвестиционную программу ПАО «Мордовская энергосбытовая компания», утвержденную приказом Республиканской службы по тарифам Республики Мордовия от 2 октября 2020 года № 115 «Об утверждении инвестиционной программы ПАО «Мордовская энергосбытовая компания» на 2021 – 2023 годы и изменений, вносимых в инвестиционную программу ПАО «Мордовская энергосбытовая компания», утвержденную приказом Министерства энергетики и тарифной политики Республики Мордовия от 31 октября 2017 года  № 112 «Об утверждении инвестиционной программы ПАО «Мордовская энергосбытовая компания» на 2018 – 2020 годы»» для Общества утверждена инвестиционная программа на 2024-2026 годы. Общий объем финансирования утвержден в размере 394,03 млн. руб. с учетом НДС.</w:t>
      </w:r>
      <w:r>
        <w:rPr>
          <w:rStyle w:val="Subst"/>
          <w:bCs/>
          <w:iCs/>
        </w:rPr>
        <w:br/>
        <w:t>На 2024 год утверждёнными источниками финансирования инвестиционной программы являются амортизация, недоиспользованная амортизация прошлых лет, собственная прибыль и возврат НДС, на 2025 год – амортизация, недоиспользованная амортизация прошлых лет и возврат НДС, на 2026 год – амортизация, недоиспользованная амортизация прошлых лет, возврат НДС и прибыль от реализации электрической энергии и мощности, учтенная в тарифах.</w:t>
      </w:r>
      <w:r>
        <w:rPr>
          <w:rStyle w:val="Subst"/>
          <w:bCs/>
          <w:iCs/>
        </w:rPr>
        <w:br/>
        <w:t xml:space="preserve">Фактическое финансирование инвестиционной программы за 2024 год составило 130,96 млн. руб. (с учетом НДС).  За 2024 год были профинансированы следующие инвестиционные проекты: «Реконструкция нежилых помещений, предназначенных для размещения Центра Обслуживания Клиентов ПАО «Мордовская энергосбытовая компания» в </w:t>
      </w:r>
      <w:proofErr w:type="spellStart"/>
      <w:r>
        <w:rPr>
          <w:rStyle w:val="Subst"/>
          <w:bCs/>
          <w:iCs/>
        </w:rPr>
        <w:t>с.Кадошкино</w:t>
      </w:r>
      <w:proofErr w:type="spellEnd"/>
      <w:r>
        <w:rPr>
          <w:rStyle w:val="Subst"/>
          <w:bCs/>
          <w:iCs/>
        </w:rPr>
        <w:t xml:space="preserve"> </w:t>
      </w:r>
      <w:proofErr w:type="spellStart"/>
      <w:r>
        <w:rPr>
          <w:rStyle w:val="Subst"/>
          <w:bCs/>
          <w:iCs/>
        </w:rPr>
        <w:t>Кадошкинского</w:t>
      </w:r>
      <w:proofErr w:type="spellEnd"/>
      <w:r>
        <w:rPr>
          <w:rStyle w:val="Subst"/>
          <w:bCs/>
          <w:iCs/>
        </w:rPr>
        <w:t xml:space="preserve"> района Республики Мордовия», «Модернизация ИСУ верхнего уровня ПАО «Мордовская энергосбытовая компания»», «Приобретение автомобиля марки Лада-Гранта (2 шт.)», «Приобретение автомобиля марки LADA VESTA SW CROSS», «Создание интеллектуальной системы учета в МКД ПАО «Мордовская энергосбытовая компания»».</w:t>
      </w:r>
    </w:p>
    <w:p w:rsidR="0076611B" w:rsidRDefault="0076611B" w:rsidP="00E223A1">
      <w:pPr>
        <w:pStyle w:val="2"/>
        <w:jc w:val="both"/>
      </w:pPr>
      <w:bookmarkStart w:id="20" w:name="_Toc196398461"/>
      <w:r>
        <w:t>1.9. Сведения о рисках, связанных с деятельностью эмитента</w:t>
      </w:r>
      <w:bookmarkEnd w:id="20"/>
    </w:p>
    <w:p w:rsidR="001B7D1D" w:rsidRDefault="0076611B" w:rsidP="001B7D1D">
      <w:pPr>
        <w:ind w:left="200"/>
        <w:jc w:val="both"/>
      </w:pPr>
      <w:r>
        <w:lastRenderedPageBreak/>
        <w:t>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положение группы эмитента.</w:t>
      </w:r>
      <w:r>
        <w:b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r>
        <w:b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деятельности эмитента (группы эмитента).</w:t>
      </w:r>
    </w:p>
    <w:p w:rsidR="001B7D1D" w:rsidRDefault="001B7D1D" w:rsidP="001B7D1D">
      <w:pPr>
        <w:ind w:left="200"/>
        <w:jc w:val="both"/>
      </w:pPr>
    </w:p>
    <w:p w:rsidR="001B7D1D" w:rsidRPr="00A17044" w:rsidRDefault="001B7D1D" w:rsidP="001B7D1D">
      <w:pPr>
        <w:widowControl/>
        <w:autoSpaceDE/>
        <w:autoSpaceDN/>
        <w:adjustRightInd/>
        <w:spacing w:before="0" w:after="0"/>
        <w:jc w:val="both"/>
        <w:rPr>
          <w:rStyle w:val="Subst"/>
          <w:bCs/>
          <w:iCs/>
        </w:rPr>
      </w:pPr>
      <w:r w:rsidRPr="00A17044">
        <w:rPr>
          <w:rStyle w:val="Subst"/>
          <w:bCs/>
          <w:iCs/>
        </w:rPr>
        <w:t>Эмитент придает большое значение вопросам успешного развития и функционирования системы управления рисками и внутреннего контроля, направленной на обеспечение надежности достижения запланированных результатов, эффективности распределения ресурсов и укреп</w:t>
      </w:r>
      <w:r>
        <w:rPr>
          <w:rStyle w:val="Subst"/>
          <w:bCs/>
          <w:iCs/>
        </w:rPr>
        <w:t>ления конкурентных преимуществ э</w:t>
      </w:r>
      <w:r w:rsidRPr="00A17044">
        <w:rPr>
          <w:rStyle w:val="Subst"/>
          <w:bCs/>
          <w:iCs/>
        </w:rPr>
        <w:t>митента.</w:t>
      </w:r>
    </w:p>
    <w:p w:rsidR="001B7D1D" w:rsidRPr="00A17044" w:rsidRDefault="001B7D1D" w:rsidP="001B7D1D">
      <w:pPr>
        <w:widowControl/>
        <w:autoSpaceDE/>
        <w:autoSpaceDN/>
        <w:adjustRightInd/>
        <w:spacing w:before="0" w:after="0"/>
        <w:jc w:val="both"/>
        <w:rPr>
          <w:rStyle w:val="Subst"/>
          <w:bCs/>
          <w:iCs/>
        </w:rPr>
      </w:pPr>
    </w:p>
    <w:p w:rsidR="001B7D1D" w:rsidRPr="00A17044" w:rsidRDefault="001B7D1D" w:rsidP="001B7D1D">
      <w:pPr>
        <w:widowControl/>
        <w:autoSpaceDE/>
        <w:autoSpaceDN/>
        <w:adjustRightInd/>
        <w:spacing w:before="0" w:after="0"/>
        <w:jc w:val="both"/>
        <w:rPr>
          <w:rStyle w:val="Subst"/>
          <w:bCs/>
          <w:iCs/>
        </w:rPr>
      </w:pPr>
      <w:r w:rsidRPr="00A17044">
        <w:rPr>
          <w:rStyle w:val="Subst"/>
          <w:bCs/>
          <w:iCs/>
        </w:rPr>
        <w:t>Система управления рисками и внутреннего контроля (далее – «</w:t>
      </w:r>
      <w:proofErr w:type="spellStart"/>
      <w:r w:rsidRPr="00A17044">
        <w:rPr>
          <w:rStyle w:val="Subst"/>
          <w:bCs/>
          <w:iCs/>
        </w:rPr>
        <w:t>СУРиВК</w:t>
      </w:r>
      <w:proofErr w:type="spellEnd"/>
      <w:r w:rsidRPr="00A17044">
        <w:rPr>
          <w:rStyle w:val="Subst"/>
          <w:bCs/>
          <w:iCs/>
        </w:rPr>
        <w:t>») состоит из взаимосвязанных элементов, обеспечивающих выявление и управление рисками на всех организационных уро</w:t>
      </w:r>
      <w:r>
        <w:rPr>
          <w:rStyle w:val="Subst"/>
          <w:bCs/>
          <w:iCs/>
        </w:rPr>
        <w:t>внях и во всех бизнес-процессах э</w:t>
      </w:r>
      <w:r w:rsidRPr="00A17044">
        <w:rPr>
          <w:rStyle w:val="Subst"/>
          <w:bCs/>
          <w:iCs/>
        </w:rPr>
        <w:t xml:space="preserve">митента. Внутренний контроль является составной частью управления рисками </w:t>
      </w:r>
      <w:r>
        <w:rPr>
          <w:rStyle w:val="Subst"/>
          <w:bCs/>
          <w:iCs/>
        </w:rPr>
        <w:t>э</w:t>
      </w:r>
      <w:r w:rsidRPr="00A17044">
        <w:rPr>
          <w:rStyle w:val="Subst"/>
          <w:bCs/>
          <w:iCs/>
        </w:rPr>
        <w:t>митента, а управление рисками — частью корпоративного управления.</w:t>
      </w:r>
    </w:p>
    <w:p w:rsidR="001B7D1D" w:rsidRPr="00A17044" w:rsidRDefault="001B7D1D" w:rsidP="001B7D1D">
      <w:pPr>
        <w:widowControl/>
        <w:autoSpaceDE/>
        <w:autoSpaceDN/>
        <w:adjustRightInd/>
        <w:spacing w:before="0" w:after="0"/>
        <w:jc w:val="both"/>
        <w:rPr>
          <w:rStyle w:val="Subst"/>
          <w:bCs/>
          <w:iCs/>
        </w:rPr>
      </w:pPr>
    </w:p>
    <w:p w:rsidR="001B7D1D" w:rsidRPr="00A17044" w:rsidRDefault="001B7D1D" w:rsidP="001B7D1D">
      <w:pPr>
        <w:spacing w:before="0" w:after="0"/>
        <w:jc w:val="both"/>
        <w:rPr>
          <w:rStyle w:val="Subst"/>
          <w:bCs/>
          <w:iCs/>
        </w:rPr>
      </w:pPr>
      <w:r w:rsidRPr="00A17044">
        <w:rPr>
          <w:rStyle w:val="Subst"/>
          <w:bCs/>
          <w:iCs/>
        </w:rPr>
        <w:t>Потенциальные инвесторы должны тщательно изучить приведенные ниже факторы риска, прежде чем принимать любое инвестиционное ре</w:t>
      </w:r>
      <w:r>
        <w:rPr>
          <w:rStyle w:val="Subst"/>
          <w:bCs/>
          <w:iCs/>
        </w:rPr>
        <w:t>шение в отношении ценных бумаг э</w:t>
      </w:r>
      <w:r w:rsidRPr="00A17044">
        <w:rPr>
          <w:rStyle w:val="Subst"/>
          <w:bCs/>
          <w:iCs/>
        </w:rPr>
        <w:t>митента. Каждый из этих факторов может оказать неблагоприятное возде</w:t>
      </w:r>
      <w:r>
        <w:rPr>
          <w:rStyle w:val="Subst"/>
          <w:bCs/>
          <w:iCs/>
        </w:rPr>
        <w:t>йствие на финансовое положение эмитента и возможность э</w:t>
      </w:r>
      <w:r w:rsidRPr="00A17044">
        <w:rPr>
          <w:rStyle w:val="Subst"/>
          <w:bCs/>
          <w:iCs/>
        </w:rPr>
        <w:t>митента исполнять обязательства перед владельцами ценных бумаг своевременно и в полном объеме.</w:t>
      </w:r>
    </w:p>
    <w:p w:rsidR="001B7D1D" w:rsidRPr="00A17044" w:rsidRDefault="001B7D1D" w:rsidP="001B7D1D">
      <w:pPr>
        <w:spacing w:before="0" w:after="0"/>
        <w:jc w:val="both"/>
        <w:rPr>
          <w:rStyle w:val="Subst"/>
          <w:bCs/>
          <w:iCs/>
        </w:rPr>
      </w:pPr>
    </w:p>
    <w:p w:rsidR="001B7D1D" w:rsidRPr="00A17044" w:rsidRDefault="001B7D1D" w:rsidP="001B7D1D">
      <w:pPr>
        <w:spacing w:before="0" w:after="0"/>
        <w:jc w:val="both"/>
        <w:rPr>
          <w:rStyle w:val="Subst"/>
          <w:bCs/>
          <w:iCs/>
        </w:rPr>
      </w:pPr>
      <w:r>
        <w:rPr>
          <w:rStyle w:val="Subst"/>
          <w:bCs/>
          <w:iCs/>
        </w:rPr>
        <w:t>Перечень рисков э</w:t>
      </w:r>
      <w:r w:rsidRPr="00A17044">
        <w:rPr>
          <w:rStyle w:val="Subst"/>
          <w:bCs/>
          <w:iCs/>
        </w:rPr>
        <w:t>митент</w:t>
      </w:r>
      <w:r>
        <w:rPr>
          <w:rStyle w:val="Subst"/>
          <w:bCs/>
          <w:iCs/>
        </w:rPr>
        <w:t>а не является исчерпывающим. В о</w:t>
      </w:r>
      <w:r w:rsidRPr="00A17044">
        <w:rPr>
          <w:rStyle w:val="Subst"/>
          <w:bCs/>
          <w:iCs/>
        </w:rPr>
        <w:t xml:space="preserve">тчете эмитента описаны только те риски, </w:t>
      </w:r>
      <w:r>
        <w:rPr>
          <w:rStyle w:val="Subst"/>
          <w:bCs/>
          <w:iCs/>
        </w:rPr>
        <w:t>которые, по мнению э</w:t>
      </w:r>
      <w:r w:rsidRPr="00A17044">
        <w:rPr>
          <w:rStyle w:val="Subst"/>
          <w:bCs/>
          <w:iCs/>
        </w:rPr>
        <w:t>митента, являются существенными в настоящее время. Дополнительные ри</w:t>
      </w:r>
      <w:r>
        <w:rPr>
          <w:rStyle w:val="Subst"/>
          <w:bCs/>
          <w:iCs/>
        </w:rPr>
        <w:t>ски, которые в настоящее время э</w:t>
      </w:r>
      <w:r w:rsidRPr="00A17044">
        <w:rPr>
          <w:rStyle w:val="Subst"/>
          <w:bCs/>
          <w:iCs/>
        </w:rPr>
        <w:t xml:space="preserve">митенту </w:t>
      </w:r>
      <w:r>
        <w:rPr>
          <w:rStyle w:val="Subst"/>
          <w:bCs/>
          <w:iCs/>
        </w:rPr>
        <w:t>неизвестны, или риски, которые э</w:t>
      </w:r>
      <w:r w:rsidRPr="00A17044">
        <w:rPr>
          <w:rStyle w:val="Subst"/>
          <w:bCs/>
          <w:iCs/>
        </w:rPr>
        <w:t>митент на данный момент считает несущественными, могут при наступлении любых таких событий оказать негативное воздействие на деятельность, финансо</w:t>
      </w:r>
      <w:r>
        <w:rPr>
          <w:rStyle w:val="Subst"/>
          <w:bCs/>
          <w:iCs/>
        </w:rPr>
        <w:t>вые результаты или перспективы э</w:t>
      </w:r>
      <w:r w:rsidRPr="00A17044">
        <w:rPr>
          <w:rStyle w:val="Subst"/>
          <w:bCs/>
          <w:iCs/>
        </w:rPr>
        <w:t>митента. Существует вероя</w:t>
      </w:r>
      <w:r>
        <w:rPr>
          <w:rStyle w:val="Subst"/>
          <w:bCs/>
          <w:iCs/>
        </w:rPr>
        <w:t>тность наличия рисков, которые э</w:t>
      </w:r>
      <w:r w:rsidRPr="00A17044">
        <w:rPr>
          <w:rStyle w:val="Subst"/>
          <w:bCs/>
          <w:iCs/>
        </w:rPr>
        <w:t>митент не в состоянии идентифицировать, но которые, тем не менее, могут нега</w:t>
      </w:r>
      <w:r>
        <w:rPr>
          <w:rStyle w:val="Subst"/>
          <w:bCs/>
          <w:iCs/>
        </w:rPr>
        <w:t>тивно повлиять на деятельность э</w:t>
      </w:r>
      <w:r w:rsidRPr="00A17044">
        <w:rPr>
          <w:rStyle w:val="Subst"/>
          <w:bCs/>
          <w:iCs/>
        </w:rPr>
        <w:t>митента. Очередность описания рисков, изложенных ниже, не отражает степень вероятности их наступления или уровень существенно</w:t>
      </w:r>
      <w:r>
        <w:rPr>
          <w:rStyle w:val="Subst"/>
          <w:bCs/>
          <w:iCs/>
        </w:rPr>
        <w:t>сти их влияния на деятельность э</w:t>
      </w:r>
      <w:r w:rsidRPr="00A17044">
        <w:rPr>
          <w:rStyle w:val="Subst"/>
          <w:bCs/>
          <w:iCs/>
        </w:rPr>
        <w:t>митента.</w:t>
      </w:r>
    </w:p>
    <w:p w:rsidR="0076611B" w:rsidRDefault="0076611B" w:rsidP="0029608E">
      <w:pPr>
        <w:pStyle w:val="2"/>
        <w:jc w:val="both"/>
      </w:pPr>
      <w:r>
        <w:t>1.9.1. Отраслевые риски</w:t>
      </w:r>
    </w:p>
    <w:p w:rsidR="0076611B" w:rsidRDefault="0076611B" w:rsidP="00E223A1">
      <w:pPr>
        <w:ind w:left="200"/>
        <w:jc w:val="both"/>
      </w:pPr>
      <w:r>
        <w:rPr>
          <w:rStyle w:val="Subst"/>
          <w:bCs/>
          <w:iCs/>
        </w:rPr>
        <w:t xml:space="preserve">1) Рост задолженности бюджетных потребителей ввиду несвоевременности поступления денежных средств из федерального, регионального и муниципального бюджетов. </w:t>
      </w:r>
      <w:r>
        <w:rPr>
          <w:rStyle w:val="Subst"/>
          <w:bCs/>
          <w:iCs/>
        </w:rPr>
        <w:br/>
        <w:t>В целях недопущения роста задолженности потребителей, финансируемых из различных уровней бюджета, компанией предпринимается одна из самых эффективных мер воздействия на неплательщиков – введение ограничения режима потребления электрической энергии. В случае непогашения долга задолженность взыскивается в судебном порядке, а также о ненадлежащем исполнении обязательств по оплате незамедлительно информируются отраслевые министерства и ведомства, контролирующие органы;</w:t>
      </w:r>
      <w:r>
        <w:rPr>
          <w:rStyle w:val="Subst"/>
          <w:bCs/>
          <w:iCs/>
        </w:rPr>
        <w:br/>
        <w:t>2) Рост задолженности потребителей сферы жилищно-коммунального хозяйства.</w:t>
      </w:r>
      <w:r>
        <w:rPr>
          <w:rStyle w:val="Subst"/>
          <w:bCs/>
          <w:iCs/>
        </w:rPr>
        <w:br/>
        <w:t>С каждым из потребителей-неплательщиков проводится индивидуальная работа, им предлагаются различные варианты урегулирования ситуации с погашением дебиторской задолженности. Активно проводится претензионно-исковая работа, направленная на взыскание задолженности в судебном порядке с начислением пеней. Вопрос повышения платежной дисциплины указанной категории потребителей регулярно выносится Гарантирующим поставщиком на рассмотрение органов власти. Также одним из действенных способов воздействия на указанную категорию потребителей остается инициация в отношении них процедуры банкротства.</w:t>
      </w:r>
      <w:r>
        <w:rPr>
          <w:rStyle w:val="Subst"/>
          <w:bCs/>
          <w:iCs/>
        </w:rPr>
        <w:br/>
        <w:t>3) Риск существенной потери занимаемой доли рынка в традиционной зоне обслуживания.</w:t>
      </w:r>
      <w:r>
        <w:rPr>
          <w:rStyle w:val="Subst"/>
          <w:bCs/>
          <w:iCs/>
        </w:rPr>
        <w:br/>
        <w:t xml:space="preserve">Указанный риск связан с возможным переходом потребителей на покупку электрической энергии с оптового рынка, а также с переходом потребителей к независимым энергосбытовым компаниям, работающим на рынке электроэнергетики региона или имеющим такое намерение, </w:t>
      </w:r>
      <w:r>
        <w:rPr>
          <w:rStyle w:val="Subst"/>
          <w:bCs/>
          <w:iCs/>
        </w:rPr>
        <w:lastRenderedPageBreak/>
        <w:t>со строительством потребителями собственной генерации.</w:t>
      </w:r>
      <w:r>
        <w:rPr>
          <w:rStyle w:val="Subst"/>
          <w:bCs/>
          <w:iCs/>
        </w:rPr>
        <w:br/>
        <w:t xml:space="preserve">В целях сохранения имеющейся клиентской базы, а также в целях возврата потребителей, ранее расторгнувших договорные отношения с Гарантирующим поставщиком и перешедших на обслуживание к иным сбытовым организациям, Обществом на постоянной основе проводится мониторинг конкурентной среды  с последующей выработкой мероприятий,, направленных на устранение причин ухода потребителей. При этом компанией проводится тщательный анализ интересов и возможностей потребителей. </w:t>
      </w:r>
      <w:r>
        <w:rPr>
          <w:rStyle w:val="Subst"/>
          <w:bCs/>
          <w:iCs/>
        </w:rPr>
        <w:br/>
        <w:t>4) Риск утраты статуса гарантирующего поставщика.</w:t>
      </w:r>
      <w:r>
        <w:rPr>
          <w:rStyle w:val="Subst"/>
          <w:bCs/>
          <w:iCs/>
        </w:rPr>
        <w:br/>
        <w:t>В условия сложившейся экономической ситуации в регионе наблюдается спад деловой активности, который влечет за собой невозможность выполнения контрагентами взятых на себя в соответствии с условиями заключенных договоров обязательств. Последствием наступления указанных событий является падение уровня платежей потребителей.</w:t>
      </w:r>
      <w:r>
        <w:rPr>
          <w:rStyle w:val="Subst"/>
          <w:bCs/>
          <w:iCs/>
        </w:rPr>
        <w:br/>
        <w:t>Нарушение сроков оплаты конечными потребителями может привести к невозможности своевременного исполнения ПАО «Мордовская энергосбытовая компания» обязательств по оплате электрической энергии, приобретаемой на оптовом рынке, а также по оплате системообразующей сетевой организации услуг по ее передаче.</w:t>
      </w:r>
      <w:r>
        <w:rPr>
          <w:rStyle w:val="Subst"/>
          <w:bCs/>
          <w:iCs/>
        </w:rPr>
        <w:br/>
        <w:t xml:space="preserve">За нарушение гарантирующим поставщиком сроков оплаты оказанных сетевой организацией услуг по передаче электрической энергии, предусмотренных п. 15.3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 декабря 2004 г. № 861, предусмотрена ответственность в виде начисления штрафов и пеней. </w:t>
      </w:r>
      <w:r>
        <w:rPr>
          <w:rStyle w:val="Subst"/>
          <w:bCs/>
          <w:iCs/>
        </w:rPr>
        <w:br/>
        <w:t>Кроме того, образование задолженности перед сетевой организацией в размере, равном двойному размеру среднемесячной величины обязательств по оплате услуг по передаче электрической энергии, может повлечь за собой в соответствии с п. 202 Основных положений функционирования розничных рынков электрической энергии, утвержденных постановлением Правительства РФ от 4 мая 2012 г. № 442, лишение ПАО «Мордовская энергосбытовая компания» статуса гарантирующего поставщика.</w:t>
      </w:r>
      <w:r>
        <w:rPr>
          <w:rStyle w:val="Subst"/>
          <w:bCs/>
          <w:iCs/>
        </w:rPr>
        <w:br/>
        <w:t>В целях снижения данного риска Обществом реализуются следующие мероприятия:</w:t>
      </w:r>
      <w:r>
        <w:rPr>
          <w:rStyle w:val="Subst"/>
          <w:bCs/>
          <w:iCs/>
        </w:rPr>
        <w:br/>
        <w:t>- повышение платежной дисциплины потребителей;</w:t>
      </w:r>
      <w:r>
        <w:rPr>
          <w:rStyle w:val="Subst"/>
          <w:bCs/>
          <w:iCs/>
        </w:rPr>
        <w:br/>
        <w:t>- снижение дебиторской задолженности потребителей;</w:t>
      </w:r>
      <w:r>
        <w:rPr>
          <w:rStyle w:val="Subst"/>
          <w:bCs/>
          <w:iCs/>
        </w:rPr>
        <w:br/>
        <w:t>- выполнение планов сбора денежных средств;</w:t>
      </w:r>
      <w:r>
        <w:rPr>
          <w:rStyle w:val="Subst"/>
          <w:bCs/>
          <w:iCs/>
        </w:rPr>
        <w:br/>
        <w:t>- качественная выверка и согласование величины и стоимости оказанных услуг по передаче электрической энергии;</w:t>
      </w:r>
      <w:r>
        <w:rPr>
          <w:rStyle w:val="Subst"/>
          <w:bCs/>
          <w:iCs/>
        </w:rPr>
        <w:br/>
        <w:t>- своевременное урегулирование разногласий по объемам и стоимости оказанных услуг.</w:t>
      </w:r>
      <w:r>
        <w:rPr>
          <w:rStyle w:val="Subst"/>
          <w:bCs/>
          <w:iCs/>
        </w:rPr>
        <w:br/>
        <w:t>С учетом проводимой работы, данный риск снижен до приемлемого для Общества уровня.</w:t>
      </w:r>
      <w:r>
        <w:rPr>
          <w:rStyle w:val="Subst"/>
          <w:bCs/>
          <w:iCs/>
        </w:rPr>
        <w:br/>
        <w:t>Ухудшение ситуации в отрасли на деятельность эмитента возможно в связи с влиянием факторов риска, указанных в п. 1.9.2. настоящего отчета эмитента, однако влияние на исполнение обязательств по ценным бумагам оценивается группой эмитента как низкое.</w:t>
      </w:r>
      <w:r>
        <w:rPr>
          <w:rStyle w:val="Subst"/>
          <w:bCs/>
          <w:iCs/>
        </w:rPr>
        <w:br/>
        <w:t>Рынок за пределами Российской Федерации:</w:t>
      </w:r>
      <w:r>
        <w:rPr>
          <w:rStyle w:val="Subst"/>
          <w:bCs/>
          <w:iCs/>
        </w:rPr>
        <w:br/>
        <w:t>Эмитент не осуществляет экспорт электроэнергии на рынок за пределами Российской Федерации. Прямого влияния отраслевых рисков на рынках за пределами Российской Федерации нет.</w:t>
      </w:r>
      <w:r>
        <w:rPr>
          <w:rStyle w:val="Subst"/>
          <w:bCs/>
          <w:iCs/>
        </w:rPr>
        <w:br/>
      </w:r>
      <w:r>
        <w:rPr>
          <w:rStyle w:val="Subst"/>
          <w:bCs/>
          <w:iCs/>
        </w:rPr>
        <w:br/>
        <w:t>Риски, связанные с возможным изменением цен на основные виды сырья, услуг, используемых эмитентом в своей деятельности (отдельно на рынке Российской Федерации и рынках за пределами Российской Федерации), их влияние на деятельность эмитента и исполнение обязательств по ценным бумагам.</w:t>
      </w:r>
      <w:r>
        <w:rPr>
          <w:rStyle w:val="Subst"/>
          <w:bCs/>
          <w:iCs/>
        </w:rPr>
        <w:br/>
        <w:t>Рынок Российской Федерации:</w:t>
      </w:r>
      <w:r>
        <w:rPr>
          <w:rStyle w:val="Subst"/>
          <w:bCs/>
          <w:iCs/>
        </w:rPr>
        <w:br/>
        <w:t>Существуют риски, связанные с ростом нерегулируемой цены покупки электроэнергии (мощности) на ОРЭМ. Рост нерегулируемой цены покупки товара на фоне дефицита денежных средств у конечных потребителей, в условиях нестабильного развития экономики в регионе и в стране в целом, может привести к неспособности потребителей своевременно оплачивать потребленные энергоресурсы в полном объеме, следствием чего являются неплатежи и возникновение просроченной задолженности, и вызванный этим рост расходов на обслуживание кредитных ресурсов. Также риски, связанные с ростом нерегулируемых цен покупки электроэнергии (мощности) ОРЭМ, оказывают негативное влияние на качество планирования финансово-экономических показателей работы Общества.</w:t>
      </w:r>
      <w:r>
        <w:rPr>
          <w:rStyle w:val="Subst"/>
          <w:bCs/>
          <w:iCs/>
        </w:rPr>
        <w:br/>
        <w:t xml:space="preserve">По причине ограниченного предложения на рынке интеллектуальных приборов учета, а также их значительным удорожанием в связи с ростом стоимости комплектующих (изменение логистических цепочек, увеличения сроков поставки, подорожанию самих комплектующих из-за нехватки материалов, экспортируемых Россией), поставляемых из-за рубежа, существует риск неисполнения обязательств гарантирующего поставщика по установке/замене интеллектуальных приборов учета при истечении поверки, либо выхода из строя счетчика у </w:t>
      </w:r>
      <w:r>
        <w:rPr>
          <w:rStyle w:val="Subst"/>
          <w:bCs/>
          <w:iCs/>
        </w:rPr>
        <w:lastRenderedPageBreak/>
        <w:t>потребителя в многоквартирном доме. Также имеется риск роста сбытовой надбавки для потребителей за счет увеличения стоимости интеллектуальных приборов учета. В связи с этим Общество оценивает данный риск как средний.</w:t>
      </w:r>
      <w:r>
        <w:rPr>
          <w:rStyle w:val="Subst"/>
          <w:bCs/>
          <w:iCs/>
        </w:rPr>
        <w:br/>
        <w:t>Риски, связанные с возможным изменением цен на основные виды сырья, услуг, используемых эмитентом в своей деятельности, не должны существенным образом повлиять на исполнение обязательств по ценным бумагам.</w:t>
      </w:r>
      <w:r>
        <w:rPr>
          <w:rStyle w:val="Subst"/>
          <w:bCs/>
          <w:iCs/>
        </w:rPr>
        <w:br/>
        <w:t>Рынок за пределами Российской Федерации:</w:t>
      </w:r>
      <w:r>
        <w:rPr>
          <w:rStyle w:val="Subst"/>
          <w:bCs/>
          <w:iCs/>
        </w:rPr>
        <w:br/>
        <w:t>Изменения цен на оргтехнику и программное обеспечение иностранного производства, по мнению эмитента, не могут существенным образом повлиять на деятельность эмитента и исполнение обязательств по ценным бумагам, так как в рамках импортозамещения запланирован переход на сертифицированное отечественное программное обеспечение, а приобретенная ранее оргтехника обеспечит функционирование эмитента в течении нескольких лет без необходимости закупки большого объема оргтехники по завышенным ценам.</w:t>
      </w:r>
      <w:r>
        <w:rPr>
          <w:rStyle w:val="Subst"/>
          <w:bCs/>
          <w:iCs/>
        </w:rPr>
        <w:br/>
        <w:t xml:space="preserve">В связи с вступлением в силу требований Постановления Правительства РФ №890 от 19.06.2020 г. по оснащению с 01.01.2021 г. потребителей многоквартирных домов интеллектуальными приборами учета, существует риск неисполнения данного Постановления по причине отсутствия на рынке интеллектуальных приборов учета, т.к. в составе приборов учета частично используется компонентная база иностранного производства (чипы, память и прочее), попавших под санкции. </w:t>
      </w:r>
      <w:r w:rsidR="00A25A15" w:rsidRPr="00A25A15">
        <w:rPr>
          <w:rStyle w:val="Subst"/>
        </w:rPr>
        <w:t>В соответствии с требованиями постановления Правительства РФ №1875 от 23.12.2024</w:t>
      </w:r>
      <w:r w:rsidR="00A25A15">
        <w:rPr>
          <w:rStyle w:val="Subst"/>
        </w:rPr>
        <w:t xml:space="preserve"> </w:t>
      </w:r>
      <w:r w:rsidR="00A25A15" w:rsidRPr="00A25A15">
        <w:rPr>
          <w:rStyle w:val="Subst"/>
        </w:rPr>
        <w:t>г., субъектам естественных монополий надлежит приобретать оборудование, имеющее в своем составе более 80% отечественной компонентой базы и включенное в реестр Минпромторга.</w:t>
      </w:r>
      <w:r w:rsidR="00A25A15">
        <w:rPr>
          <w:rStyle w:val="Subst"/>
        </w:rPr>
        <w:t xml:space="preserve"> </w:t>
      </w:r>
      <w:r>
        <w:rPr>
          <w:rStyle w:val="Subst"/>
          <w:bCs/>
          <w:iCs/>
        </w:rPr>
        <w:t>В связи с этим Общество оценивает данный риск как средний.</w:t>
      </w:r>
      <w:r>
        <w:rPr>
          <w:rStyle w:val="Subst"/>
          <w:bCs/>
          <w:iCs/>
        </w:rPr>
        <w:br/>
        <w:t>Риски, связанные с возможным изменением цен на продукцию и/или услуги на внешнем рынке, используемых эмитентом в своей деятельности, не должны существенным образом повлиять на исполнение обязательств по ценным бумагам.</w:t>
      </w:r>
      <w:r>
        <w:rPr>
          <w:rStyle w:val="Subst"/>
          <w:bCs/>
          <w:iCs/>
        </w:rPr>
        <w:br/>
      </w:r>
      <w:r>
        <w:rPr>
          <w:rStyle w:val="Subst"/>
          <w:bCs/>
          <w:iCs/>
        </w:rPr>
        <w:br/>
        <w:t>Риски, связанные с возможным изменением цен на товары, работы и (или) услуги группы эмитента (отдельно на рынке Российской Федерации и рынках за пределами Российской Федерации), и их влияние на деятельность группы эмитента и исполнение обязательств по ценным бумагам.</w:t>
      </w:r>
      <w:r>
        <w:rPr>
          <w:rStyle w:val="Subst"/>
          <w:bCs/>
          <w:iCs/>
        </w:rPr>
        <w:br/>
        <w:t>Рынок Российской Федерации:</w:t>
      </w:r>
      <w:r>
        <w:rPr>
          <w:rStyle w:val="Subst"/>
          <w:bCs/>
          <w:iCs/>
        </w:rPr>
        <w:br/>
        <w:t>Изменение цен на электрическую энергию, реализуемую эмитентом розничным потребителям, может происходить только в связи с изменением цен на электрическую энергию и мощность на оптовом рынке или услуг сетевых и инфраструктурных организаций, поскольку алгоритм расчета цен на продукцию эмитента является, по сути, регулируемым. Вместе с тем, рост цен на приобретаемые эмитентом электрическую энергию и мощность, а также увеличение стоимости услуг и сбытовой надбавки Эмитента, также учитываемых при определении цены на электрическую энергию для розничных потребителей, могут способствовать усилению конкуренции с энергосбытовыми компаниями-конкурентами (за сбытовую надбавку) и стимулировать потребителей рассматривать иные возможности сокращения расходов на электроэнергию (энергосбережение, развитие собственной генерации).</w:t>
      </w:r>
      <w:r>
        <w:rPr>
          <w:rStyle w:val="Subst"/>
          <w:bCs/>
          <w:iCs/>
        </w:rPr>
        <w:br/>
        <w:t>Предполагаемые действия эмитента в случае усиления конкуренции:</w:t>
      </w:r>
      <w:r>
        <w:rPr>
          <w:rStyle w:val="Subst"/>
          <w:bCs/>
          <w:iCs/>
        </w:rPr>
        <w:br/>
        <w:t>- повышение операционной эффективности Общества путем реализации программ по снижению производственных издержек;</w:t>
      </w:r>
      <w:r>
        <w:rPr>
          <w:rStyle w:val="Subst"/>
          <w:bCs/>
          <w:iCs/>
        </w:rPr>
        <w:br/>
        <w:t>- проведение взвешенной финансовой и договорной политики с целью сохранения статуса гарантирующего поставщика;</w:t>
      </w:r>
      <w:r>
        <w:rPr>
          <w:rStyle w:val="Subst"/>
          <w:bCs/>
          <w:iCs/>
        </w:rPr>
        <w:br/>
        <w:t>- проведение просветительской и разъяснительной работы с потребителями по изменению ценообразования;</w:t>
      </w:r>
      <w:r>
        <w:rPr>
          <w:rStyle w:val="Subst"/>
          <w:bCs/>
          <w:iCs/>
        </w:rPr>
        <w:br/>
        <w:t>- наращивание и конкретизация работы с органами государственной власти региона и органами местного самоуправления по выработке решений, приемлемых для деятельности;</w:t>
      </w:r>
      <w:r>
        <w:rPr>
          <w:rStyle w:val="Subst"/>
          <w:bCs/>
          <w:iCs/>
        </w:rPr>
        <w:br/>
        <w:t>- использование структурированной маркетинговой политики, основанной на детальном анализе спроса, интересов и возможностей потребителей энергоресурсов;</w:t>
      </w:r>
      <w:r>
        <w:rPr>
          <w:rStyle w:val="Subst"/>
          <w:bCs/>
          <w:iCs/>
        </w:rPr>
        <w:br/>
        <w:t>- внедрение новых технологий для улучшения обслуживания своих клиентов и сохранения конкурентных преимуществ перед другими энергосбытовыми компаниями.</w:t>
      </w:r>
      <w:r>
        <w:rPr>
          <w:rStyle w:val="Subst"/>
          <w:bCs/>
          <w:iCs/>
        </w:rPr>
        <w:br/>
        <w:t>Данный риск не должен существенным образом повлиять на исполнение эмитентом обязательств по ценным бумагам.</w:t>
      </w:r>
      <w:r>
        <w:rPr>
          <w:rStyle w:val="Subst"/>
          <w:bCs/>
          <w:iCs/>
        </w:rPr>
        <w:br/>
        <w:t>Рынок за пределами Российской Федерации:</w:t>
      </w:r>
      <w:r>
        <w:rPr>
          <w:rStyle w:val="Subst"/>
          <w:bCs/>
          <w:iCs/>
        </w:rPr>
        <w:br/>
        <w:t>Эмитент не осуществляет экспорт электроэнергии на внешний рынок, в связи с чем риски, связанные с возможным изменением цен на продукцию и/или услуги на внешнем рынке, отсутствуют.</w:t>
      </w:r>
    </w:p>
    <w:p w:rsidR="0076611B" w:rsidRDefault="0076611B" w:rsidP="00E223A1">
      <w:pPr>
        <w:pStyle w:val="2"/>
        <w:jc w:val="both"/>
      </w:pPr>
      <w:bookmarkStart w:id="21" w:name="_Toc196398462"/>
      <w:r>
        <w:t>1.9.2. Страновые и региональные риски</w:t>
      </w:r>
      <w:bookmarkEnd w:id="21"/>
    </w:p>
    <w:p w:rsidR="0076611B" w:rsidRDefault="0076611B" w:rsidP="00E223A1">
      <w:pPr>
        <w:ind w:left="200"/>
        <w:jc w:val="both"/>
      </w:pPr>
      <w:r>
        <w:rPr>
          <w:rStyle w:val="Subst"/>
          <w:bCs/>
          <w:iCs/>
        </w:rPr>
        <w:lastRenderedPageBreak/>
        <w:t>Социально-экономическое развитие страны, политическая и экономическая нестабильность, риск открытого военного конфликта, риск введения чрезвычайного положения и многие другие факторы характеризуют страновые риски. Влияние данных факторов может выражаться в снижении заявленных покупателем объемов поставки электроэнергии, и как следствие, в росте дебиторской задолженности потребителей за поставленную энергию. Данный риск не поддается влиянию со стороны Эмитента.</w:t>
      </w:r>
      <w:r>
        <w:rPr>
          <w:rStyle w:val="Subst"/>
          <w:bCs/>
          <w:iCs/>
        </w:rPr>
        <w:br/>
        <w:t>С февраля 2022 года наблюдается существенный рост волатильности на фондовых и</w:t>
      </w:r>
      <w:r w:rsidR="001B7D1D">
        <w:rPr>
          <w:rStyle w:val="Subst"/>
          <w:bCs/>
          <w:iCs/>
        </w:rPr>
        <w:t xml:space="preserve"> валютных рынках. На начало 2024</w:t>
      </w:r>
      <w:r>
        <w:rPr>
          <w:rStyle w:val="Subst"/>
          <w:bCs/>
          <w:iCs/>
        </w:rPr>
        <w:t xml:space="preserve"> года </w:t>
      </w:r>
      <w:r w:rsidR="00751653">
        <w:rPr>
          <w:rStyle w:val="Subst"/>
          <w:bCs/>
          <w:iCs/>
        </w:rPr>
        <w:t xml:space="preserve">ключевая </w:t>
      </w:r>
      <w:r>
        <w:rPr>
          <w:rStyle w:val="Subst"/>
          <w:bCs/>
          <w:iCs/>
        </w:rPr>
        <w:t xml:space="preserve">ставка составляла </w:t>
      </w:r>
      <w:r w:rsidR="001B7D1D">
        <w:rPr>
          <w:rStyle w:val="Subst"/>
          <w:bCs/>
          <w:iCs/>
        </w:rPr>
        <w:t>16%, а на конец 2024 года - уже 21</w:t>
      </w:r>
      <w:r>
        <w:rPr>
          <w:rStyle w:val="Subst"/>
          <w:bCs/>
          <w:iCs/>
        </w:rPr>
        <w:t xml:space="preserve">%. Указами Президента РФ от 28 февраля 2022 г. № 79, от 1 марта 2022 г. №81 принят ряд специальных ограничительных экономических мер. Невозможно определить, как долго сохранится повышенная волатильность и на каком уровне в конечном итоге стабилизируются показатели финансовых и валютных рынков. </w:t>
      </w:r>
      <w:r>
        <w:rPr>
          <w:rStyle w:val="Subst"/>
          <w:bCs/>
          <w:iCs/>
        </w:rPr>
        <w:br/>
        <w:t xml:space="preserve">Замедление экономических процессов в регионе и в стране привели к снижению доходов населения, повышению цен на значительную часть важнейших продовольственных и непродовольственных товаров, </w:t>
      </w:r>
      <w:r w:rsidR="00751653">
        <w:rPr>
          <w:rStyle w:val="Subst"/>
          <w:bCs/>
          <w:iCs/>
        </w:rPr>
        <w:t>с</w:t>
      </w:r>
      <w:r>
        <w:rPr>
          <w:rStyle w:val="Subst"/>
          <w:bCs/>
          <w:iCs/>
        </w:rPr>
        <w:t>оответственно возникают риски сокращения потребления электроэнергии и, как следствие, уменьшение возможной прибыли вследствие снижения платежеспособности организаций и населения. Предполагаемые действия в данных условиях – это принятие ряда мер по антикризисному управлению. В случае отрицательного влияния изменения политической или экономической ситуации на деятельность компании Эмитент предполагает осуществить все действия, направленные на снижение влияния таких изменений на свою деятельность, в том числе: сокращение расходов, сокращение инвестиционных планов.</w:t>
      </w:r>
      <w:r>
        <w:rPr>
          <w:rStyle w:val="Subst"/>
          <w:bCs/>
          <w:iCs/>
        </w:rPr>
        <w:br/>
      </w:r>
      <w:r>
        <w:rPr>
          <w:rStyle w:val="Subst"/>
          <w:bCs/>
          <w:iCs/>
        </w:rPr>
        <w:br/>
      </w:r>
      <w:r w:rsidR="00751653" w:rsidRPr="00751653">
        <w:rPr>
          <w:rStyle w:val="a8"/>
          <w:b/>
          <w:bCs/>
          <w:iCs/>
        </w:rPr>
        <w:t xml:space="preserve">Риски, связанные с возможными военными конфликтами, введением чрезвычайного положения и забастовками в стране и регионе, в котором Эмитент зарегистрирован в качестве налогоплательщика, минимальны и маловероятны. </w:t>
      </w:r>
      <w:r w:rsidR="00751653" w:rsidRPr="00751653">
        <w:rPr>
          <w:b/>
          <w:bCs/>
          <w:i/>
          <w:iCs/>
        </w:rPr>
        <w:br/>
      </w:r>
      <w:r w:rsidR="00751653" w:rsidRPr="00751653">
        <w:rPr>
          <w:rStyle w:val="a8"/>
          <w:b/>
          <w:bCs/>
          <w:iCs/>
        </w:rPr>
        <w:t>В настоящее время социальная обстановка на территории деятельности Общества характеризуется как спокойная, отсутствие  межнациональных и иных конфликтов позволяет осуществлять хозяйственную деятельность с минимальными социально-политическими рисками.</w:t>
      </w:r>
      <w:r w:rsidR="00751653" w:rsidRPr="00751653">
        <w:rPr>
          <w:rFonts w:ascii="Calibri" w:hAnsi="Calibri" w:cs="Calibri"/>
          <w:bCs/>
          <w:iCs/>
        </w:rPr>
        <w:br/>
      </w:r>
      <w:r>
        <w:rPr>
          <w:rStyle w:val="Subst"/>
          <w:bCs/>
          <w:iCs/>
        </w:rPr>
        <w:br/>
        <w:t>Региональные риски</w:t>
      </w:r>
      <w:r>
        <w:rPr>
          <w:rStyle w:val="Subst"/>
          <w:bCs/>
          <w:iCs/>
        </w:rPr>
        <w:br/>
        <w:t>Региональные риски включают в себя риски, связанные с географическими особенностями региона, природно-климатическими условиями, в котором Эмитент зарегистрирован в качестве налогоплательщика и осуществляет свою деятельность.</w:t>
      </w:r>
      <w:r>
        <w:rPr>
          <w:rStyle w:val="Subst"/>
          <w:bCs/>
          <w:iCs/>
        </w:rPr>
        <w:br/>
        <w:t xml:space="preserve">Риски, связанные с природно-климатическими условиями и географическими особенностями региона, в том числе повышенной опасностью стихийных бедствий, возможным прекращением транспортного сообщения в связи с удаленностью и/или труднодоступностью, не оказывают существенного влияния на деятельность Эмитента, поскольку данный регион мало подвержен таким рискам. </w:t>
      </w:r>
      <w:r>
        <w:rPr>
          <w:rStyle w:val="Subst"/>
          <w:bCs/>
          <w:iCs/>
        </w:rPr>
        <w:br/>
        <w:t>Однако, на функционирование и развитие энергетической отрасли в Республике Мордовия влияют следующие негативные факторы: слабое развитие крупной промышленности, зависимость Республики Мордовия от дотаций федерального уровня, высокая изношенность электросетевого хозяйства.</w:t>
      </w:r>
    </w:p>
    <w:p w:rsidR="0076611B" w:rsidRDefault="0076611B" w:rsidP="00E223A1">
      <w:pPr>
        <w:pStyle w:val="2"/>
        <w:jc w:val="both"/>
      </w:pPr>
      <w:bookmarkStart w:id="22" w:name="_Toc196398463"/>
      <w:r>
        <w:t>1.9.3. Финансовые риски</w:t>
      </w:r>
      <w:bookmarkEnd w:id="22"/>
    </w:p>
    <w:p w:rsidR="0076611B" w:rsidRDefault="0076611B" w:rsidP="00E223A1">
      <w:pPr>
        <w:ind w:left="200"/>
        <w:jc w:val="both"/>
      </w:pPr>
      <w:r>
        <w:rPr>
          <w:rStyle w:val="Subst"/>
          <w:bCs/>
          <w:iCs/>
        </w:rPr>
        <w:t>Влияние финансовых рисков на показатели финансовой отчетности</w:t>
      </w:r>
      <w:r>
        <w:rPr>
          <w:rStyle w:val="Subst"/>
          <w:bCs/>
          <w:iCs/>
        </w:rPr>
        <w:br/>
        <w:t>В связи с тем, что тарифы на услуги эмитента ограничены государственным регулированием, финансовые риски оказывают существенное влияние на чистую прибыль эмитента. В случае возникновения финансовых рисков эмитент предпримет все возможные меры по минимизации негативных последствий, однако не может гарантировать, что ситуация может быть полностью исправлена, поскольку данные факторы находятся вне контроля эмитента.</w:t>
      </w:r>
      <w:r>
        <w:rPr>
          <w:rStyle w:val="Subst"/>
          <w:bCs/>
          <w:iCs/>
        </w:rPr>
        <w:br/>
      </w:r>
      <w:r>
        <w:rPr>
          <w:rStyle w:val="Subst"/>
          <w:bCs/>
          <w:iCs/>
        </w:rPr>
        <w:br/>
        <w:t>Влияние изменения валютного курса.</w:t>
      </w:r>
      <w:r>
        <w:rPr>
          <w:rStyle w:val="Subst"/>
          <w:bCs/>
          <w:iCs/>
        </w:rPr>
        <w:br/>
        <w:t xml:space="preserve">Валютный риск - это риск того, что у Общества могут возникнуть неблагоприятные последствия в случае изменений в валютных курсах. </w:t>
      </w:r>
      <w:r>
        <w:rPr>
          <w:rStyle w:val="Subst"/>
          <w:bCs/>
          <w:iCs/>
        </w:rPr>
        <w:br/>
        <w:t>Общество реализует электроэнергию на внутреннем рынке Российской Федерации. Расчеты с потребителями энергии осуществляются в валюте Российской Федерации – рублях. Договоры с поставщиками и подрядчиками зафиксированы в валюте Российской Федерации, у Общества нет валютной выручки и обязательств в валюте. В связи с этим Общество оценивает данный риск как минимальный.</w:t>
      </w:r>
      <w:r>
        <w:rPr>
          <w:rStyle w:val="Subst"/>
          <w:bCs/>
          <w:iCs/>
        </w:rPr>
        <w:br/>
      </w:r>
      <w:r>
        <w:rPr>
          <w:rStyle w:val="Subst"/>
          <w:bCs/>
          <w:iCs/>
        </w:rPr>
        <w:br/>
        <w:t>Влияние изменения процентных ставок</w:t>
      </w:r>
      <w:r>
        <w:rPr>
          <w:rStyle w:val="Subst"/>
          <w:bCs/>
          <w:iCs/>
        </w:rPr>
        <w:br/>
      </w:r>
      <w:r>
        <w:rPr>
          <w:rStyle w:val="Subst"/>
          <w:bCs/>
          <w:iCs/>
        </w:rPr>
        <w:lastRenderedPageBreak/>
        <w:t>Риск возникновения дополнительных расходов, финансовых потерь, недополучения и снижения уровня доходов, стоимости активов вследствие изменения процентных ставок.</w:t>
      </w:r>
      <w:r>
        <w:rPr>
          <w:rStyle w:val="Subst"/>
          <w:bCs/>
          <w:iCs/>
        </w:rPr>
        <w:br/>
        <w:t xml:space="preserve">Стратегия роста эмитента осуществляется с использованием привлеченных средств – эмитент активно использует инструментарий банковского кредитования. В рамках финансово-хозяйственной деятельности Общество привлекает кредитные ресурсы с целью покрытия непродолжительных кассовых разрывов. В связи с этим эмитент несет риск изменения процентных ставок. </w:t>
      </w:r>
      <w:r>
        <w:rPr>
          <w:rStyle w:val="Subst"/>
          <w:bCs/>
          <w:iCs/>
        </w:rPr>
        <w:br/>
        <w:t>Резкий рост процентных ставок может негативно сказаться на текущих финансовых результатах компании, ухудшая ее показатели прибыли до налогообложения и чистой прибыли. ПАО «Мордовская энергосбытовая компания» проводит взвешенную кредитную политику, расширяет список банков-партнеров по установлению кредитных лимитов, что позволяет дифференцировать кредитный портфель и иметь возможность выбирать более выгодные условия привлечения заемных денежных средств для Общества. Риск роста процентных ставок для Общества оценивается как высокий.</w:t>
      </w:r>
      <w:r>
        <w:rPr>
          <w:rStyle w:val="Subst"/>
          <w:bCs/>
          <w:iCs/>
        </w:rPr>
        <w:br/>
        <w:t>Снижение ключевой ставки и последующее снижение фиксированных ставок по кредитам коммерческих банков приводит к упущенной выгоде в виде разницы между действующей по договору процентной ставкой и текущими рыночными ставками, что также негативно влияет на текущий финансовый результат компании, ухудшая ее показатели прибыли до налогообложения и чистой прибыли.</w:t>
      </w:r>
      <w:r>
        <w:rPr>
          <w:rStyle w:val="Subst"/>
          <w:bCs/>
          <w:iCs/>
        </w:rPr>
        <w:br/>
      </w:r>
      <w:r>
        <w:rPr>
          <w:rStyle w:val="Subst"/>
          <w:bCs/>
          <w:iCs/>
        </w:rPr>
        <w:br/>
        <w:t>Влияние инфляции на финансовое состояние эмитента</w:t>
      </w:r>
      <w:r>
        <w:rPr>
          <w:rStyle w:val="Subst"/>
          <w:bCs/>
          <w:iCs/>
        </w:rPr>
        <w:br/>
        <w:t xml:space="preserve">Изменение уровня инфляции напрямую зависит от политической и экономической ситуации в стране и влияет на изменение процентных ставок. Риск влияния инфляции может возникнуть в случае, когда получаемые Обществом денежные доходы обесцениваются с точки зрения реальной покупательной способности быстрее, чем растут номинально. Рост инфляции может привести к увеличению затрат Общества (за счет роста цен на основные средства, материалы, работы и услуги сторонних организаций), и как следствие, снижению прибыли Общества и рентабельности его деятельности, а также к удорожанию заемных средств для Общества, что повлечет нехватку оборотных средств. </w:t>
      </w:r>
      <w:r>
        <w:rPr>
          <w:rStyle w:val="Subst"/>
          <w:bCs/>
          <w:iCs/>
        </w:rPr>
        <w:br/>
      </w:r>
      <w:r w:rsidR="00D60A97" w:rsidRPr="00D60A97">
        <w:rPr>
          <w:rStyle w:val="Subst"/>
          <w:bCs/>
          <w:iCs/>
        </w:rPr>
        <w:t>В случае стремительного роста инфляции Общество намерено уделять особое внимание сокращению расходов</w:t>
      </w:r>
      <w:r w:rsidR="00D60A97">
        <w:rPr>
          <w:rStyle w:val="Subst"/>
          <w:bCs/>
          <w:iCs/>
        </w:rPr>
        <w:t xml:space="preserve">. </w:t>
      </w:r>
      <w:r>
        <w:rPr>
          <w:rStyle w:val="Subst"/>
          <w:bCs/>
          <w:iCs/>
        </w:rPr>
        <w:t>Предсказать критический уровень инфляции для Общества не представляется возможным, поскольку, необходимо учитывать уровень потребительских цен, изменения реальной покупательной способности рубля, конъюнктуру на рынках электроэнергии, дальнейшую денежно-кредитную политику государства и политику в области тарифного регулирования. Кроме того, согласно Постановлению Правительства Российской Федерации от 29 декабря 2011 г. №1178 «О ценообразовании в области регулируемых цен (тарифов) в электроэнергетике» при регулировании тарифов на электроэнергию учитывается уровень инфляции (индекс потребительских цен), определенный в прогнозе социально-экономического развития Российской Федерации. Общество оценивает данный риск как высокий.</w:t>
      </w:r>
      <w:r>
        <w:rPr>
          <w:rStyle w:val="Subst"/>
          <w:bCs/>
          <w:iCs/>
        </w:rPr>
        <w:br/>
      </w:r>
      <w:r>
        <w:rPr>
          <w:rStyle w:val="Subst"/>
          <w:bCs/>
          <w:iCs/>
        </w:rPr>
        <w:br/>
        <w:t>Кредитный риск и влияние неплатежеспособности контрагентов (потребителей электроэнергии)</w:t>
      </w:r>
      <w:r>
        <w:rPr>
          <w:rStyle w:val="Subst"/>
          <w:bCs/>
          <w:iCs/>
        </w:rPr>
        <w:br/>
        <w:t>Основным фактором кредитного риска Общество считает ухудшение платежеспособности потребителей на розничном рынке электроэнергии. Реализация кредитного риска может повлиять на финансовые показатели Общества, такие как чистая прибыль и денежный поток. Для предотвращения рисков неисполнения контрагентами своих обязательств и минимизации возможных потерь эмитент осуществляет управление кредитным риском при взаимодействии с внешними контрагентами (покупателями и поставщиками), а также с финансовыми организациями, включая банки и страховые компании. В рамках управления кредитным риском Общество: - осуществляет мониторинг контрагентов на розничном и оптовом рынках электроэнергии и мощности, - осуществляет мониторинг своевременного исполнения обязательств контрагентами на контрольную дату платежа, - проводит анализ контрагентов на предмет платежеспособности и финансовой устойчивости, - осуществляет мероприятия по введению ограничений и отключений поставки электрической энергии в соответствии с законодательством Российской Федерации, осуществляет ведение претензионно-исковой работы.</w:t>
      </w:r>
      <w:r>
        <w:rPr>
          <w:rStyle w:val="Subst"/>
          <w:bCs/>
          <w:iCs/>
        </w:rPr>
        <w:br/>
        <w:t>В целях повышения эффективности использования оборотных средств за счет своевременного принятия мер по погашению просроченной дебиторской задолженности в рамках компании проводятся работы по управлению дебиторской и кредиторской задолженностью. Кредитный риск оценивается как существенный</w:t>
      </w:r>
      <w:r w:rsidR="00097DA6">
        <w:rPr>
          <w:rStyle w:val="Subst"/>
          <w:bCs/>
          <w:iCs/>
        </w:rPr>
        <w:t>.</w:t>
      </w:r>
    </w:p>
    <w:p w:rsidR="0076611B" w:rsidRDefault="0076611B" w:rsidP="00E223A1">
      <w:pPr>
        <w:pStyle w:val="2"/>
        <w:jc w:val="both"/>
      </w:pPr>
      <w:bookmarkStart w:id="23" w:name="_Toc196398464"/>
      <w:r>
        <w:t>1.9.4. Правовые риски</w:t>
      </w:r>
      <w:bookmarkEnd w:id="23"/>
    </w:p>
    <w:p w:rsidR="0076611B" w:rsidRDefault="0076611B" w:rsidP="00E223A1">
      <w:pPr>
        <w:ind w:left="200"/>
        <w:jc w:val="both"/>
      </w:pPr>
      <w:r>
        <w:rPr>
          <w:rStyle w:val="Subst"/>
          <w:bCs/>
          <w:iCs/>
        </w:rPr>
        <w:lastRenderedPageBreak/>
        <w:t xml:space="preserve">Общество строит свою деятельность на соблюдении норм действующего законодательства Российской Федерации, а кроме того осуществляет постоянный мониторинг его изменений. Учитывая, что эмитент не осуществляет и не планирует осуществлять свою деятельность за пределами Российской Федерации, правовые риски, связанные с деятельностью эмитента на внешних рынках, отсутствуют. </w:t>
      </w:r>
      <w:r>
        <w:rPr>
          <w:rStyle w:val="Subst"/>
          <w:bCs/>
          <w:iCs/>
        </w:rPr>
        <w:br/>
        <w:t>Осуществляется мониторинг изменений в действующем законодательстве, затрагивающих различные аспекты финансово-хозяйственной деятельности Общества.</w:t>
      </w:r>
      <w:r>
        <w:rPr>
          <w:rStyle w:val="Subst"/>
          <w:bCs/>
          <w:iCs/>
        </w:rPr>
        <w:br/>
      </w:r>
      <w:r>
        <w:rPr>
          <w:rStyle w:val="Subst"/>
          <w:bCs/>
          <w:iCs/>
        </w:rPr>
        <w:br/>
        <w:t>Правовые риски, связанные с финансово-хозяйственной деятельностью эмитента, оцениваются как незначительные и не могут повлиять на исполнение обязательств по ценным бумагам.</w:t>
      </w:r>
      <w:r>
        <w:rPr>
          <w:rStyle w:val="Subst"/>
          <w:bCs/>
          <w:iCs/>
        </w:rPr>
        <w:br/>
      </w:r>
      <w:r>
        <w:rPr>
          <w:rStyle w:val="Subst"/>
          <w:bCs/>
          <w:iCs/>
        </w:rPr>
        <w:br/>
        <w:t>Риски, связанные с изменением валютного законодательства:</w:t>
      </w:r>
      <w:r>
        <w:rPr>
          <w:rStyle w:val="Subst"/>
          <w:bCs/>
          <w:iCs/>
        </w:rPr>
        <w:br/>
        <w:t>Деятельность Общества осуществляется на территории Российской Федерации, а вся сумма его операционных расходов номинирована в национальной валюте и не относится к расчётам с иностранными поставщиками, вследствие чего прямому влиянию валютных рисков Общество не подвержено.</w:t>
      </w:r>
      <w:r>
        <w:rPr>
          <w:rStyle w:val="Subst"/>
          <w:bCs/>
          <w:iCs/>
        </w:rPr>
        <w:br/>
      </w:r>
      <w:r>
        <w:rPr>
          <w:rStyle w:val="Subst"/>
          <w:bCs/>
          <w:iCs/>
        </w:rPr>
        <w:br/>
        <w:t>Риски, связанные с изменением законодательства о налогах и сборах:</w:t>
      </w:r>
      <w:r>
        <w:rPr>
          <w:rStyle w:val="Subst"/>
          <w:bCs/>
          <w:iCs/>
        </w:rPr>
        <w:br/>
        <w:t>Общество является налогоплательщиком Российской Федерации, осуществляющим уплату федеральных, региональных и местных налогов, обязательных взносов в фонды пенсионного, медицинского и социального страхования, налога на имущество организаций.</w:t>
      </w:r>
      <w:r>
        <w:rPr>
          <w:rStyle w:val="Subst"/>
          <w:bCs/>
          <w:iCs/>
        </w:rPr>
        <w:br/>
        <w:t>Налоговые риски рассматриваются Обществом в следующих основных проявлениях: вероятность введения новых налогов и сборов, роста действующих ставок по налогам, расширения налоговой базы, изменения сроков и порядка уплаты налоговых платежей, а также предоставления и сдачи налоговой отчетности. Возможный рост ставок по налогам, оплачиваемым Обществом в ходе своей финансово-хозяйственной деятельности, может привести к увеличению расходов и снижению чистой прибыли, остающихся на предприятии на финансирование текущей деятельности и исполнение обязательств, что неблагоприятным образом скажется на деятельности Общества. Данные риски эмитентом рассматриваются как незначительные и не могут повлиять на исполнение обязательств по ценным бумагам. В целях минимизации налоговых рисков в Обществе ведется работа по оптимизации налоговых схем расчета налоговой базы в строгом соответствии с действующим законодательством Российской Федерации.</w:t>
      </w:r>
      <w:r>
        <w:rPr>
          <w:rStyle w:val="Subst"/>
          <w:bCs/>
          <w:iCs/>
        </w:rPr>
        <w:br/>
      </w:r>
      <w:r>
        <w:rPr>
          <w:rStyle w:val="Subst"/>
          <w:bCs/>
          <w:iCs/>
        </w:rPr>
        <w:br/>
        <w:t>Риски, связанные с изменениями правил таможенного контроля и таможенных пошлин:</w:t>
      </w:r>
      <w:r>
        <w:rPr>
          <w:rStyle w:val="Subst"/>
          <w:bCs/>
          <w:iCs/>
        </w:rPr>
        <w:br/>
        <w:t>Поскольку Общество не осуществляет и не планирует осуществлять свою деятельность на внешнем рынке, риски, связанные с изменением таможенного законодательства, отсутствуют.</w:t>
      </w:r>
      <w:r>
        <w:rPr>
          <w:rStyle w:val="Subst"/>
          <w:bCs/>
          <w:iCs/>
        </w:rPr>
        <w:br/>
      </w:r>
      <w:r>
        <w:rPr>
          <w:rStyle w:val="Subst"/>
          <w:bCs/>
          <w:iCs/>
        </w:rPr>
        <w:br/>
        <w:t>Риски, связанные с изменениями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rStyle w:val="Subst"/>
          <w:bCs/>
          <w:iCs/>
        </w:rPr>
        <w:br/>
        <w:t>Вопрос лицензирования энергосбытовых компаний обсуждался несколько лет. Федеральный закон о лицензировании энергосбытовой деятельности был подписан в конце 2017 г., лицензирование было введено для стимулирования энергосбытовых организаций и Гарантирующих поставщиков к повышению качества их работы. Лицензии должны были заработать в июле 2020 г., однако правительство в своем постановлении перенесло срок на год — до 1 июля 2021 г.</w:t>
      </w:r>
      <w:r>
        <w:rPr>
          <w:rStyle w:val="Subst"/>
          <w:bCs/>
          <w:iCs/>
        </w:rPr>
        <w:br/>
        <w:t>1 июля 2021 г. вступил в силу Федеральный закон от 11.06.2021 г. №170-ФЗ, которым внесены изменения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Изменениями, в том числе, исключены положения о лицензировании энергосбытовой деятельности. Также Федеральным законом от 01.07.2021 №283-ФЗ внесены изменения в Кодекс Российской Федерации об административных правонарушениях, которыми, в частности, признана утратившей силу статья 14.1.4 КоАП РФ «Осуществление энергосбытовой деятельности с нарушением лицензионных требований или без лицензии».</w:t>
      </w:r>
      <w:r>
        <w:rPr>
          <w:rStyle w:val="Subst"/>
          <w:bCs/>
          <w:iCs/>
        </w:rPr>
        <w:br/>
        <w:t xml:space="preserve">При этом принятый Госдумой закон вводит новый метод государственного регулирования и контроля в сфере электроэнергетики: мониторинг риска нарушения работы субъектов электроэнергетики. Под мониторингом риска понимают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объектами по производству электрической энергии или электросетями. Мониторинг будет вести Минэнерго в отношении субъектов электроэнергетики, соответствующих критериям, которые установит правительство. Результаты мониторинга риска предлагается учитывать при инвестиционном </w:t>
      </w:r>
      <w:r>
        <w:rPr>
          <w:rStyle w:val="Subst"/>
          <w:bCs/>
          <w:iCs/>
        </w:rPr>
        <w:lastRenderedPageBreak/>
        <w:t>планировании в сфере электроэнергетики. Таким образом, в качестве замены лицензирования Минэнерго усилит контроль показателей финансового состояния и финансовой дисциплины участников оптового рынка электрической энергии и мощности. Общество предпримет необходимые меры для компании по показателям финансового состояния.</w:t>
      </w:r>
      <w:r>
        <w:rPr>
          <w:rStyle w:val="Subst"/>
          <w:bCs/>
          <w:iCs/>
        </w:rPr>
        <w:br/>
        <w:t>Мониторинг законодательства проводится постоянно. В настоящее время изменений в законодательстве в области лицензирования энергосбытовой деятельности не вносилось.</w:t>
      </w:r>
      <w:r>
        <w:rPr>
          <w:rStyle w:val="Subst"/>
          <w:bCs/>
          <w:iCs/>
        </w:rPr>
        <w:br/>
        <w:t>Федеральным законом от 11 июня 2021 г. №170 ФЗ был установлен новый механизм мониторинга риска нарушения работы субъектов электроэнергетики в сфере электроэнергетики, который реализуется Минэнерго России и представляет собой систему постоянного сбора, обработки и анализа информации о деятельности субъектов электроэнергетики (ст. 28.3 ФЗ "Об электроэнергетике"). Результаты мониторинга риска предлагается учитывать при инвестиционном планировании в сфере электроэнергетики. Таким образом, в качестве замены лицензирования Минэнерго усилило контроль показателей финансового состояния и финансовой дисциплины участников оптового рынка электрической энергии и мощности. Общество предпримет необходимые меры для компании по показателям финансового состояния.</w:t>
      </w:r>
      <w:r>
        <w:rPr>
          <w:rStyle w:val="Subst"/>
          <w:bCs/>
          <w:iCs/>
        </w:rPr>
        <w:br/>
      </w:r>
      <w:r>
        <w:rPr>
          <w:rStyle w:val="Subst"/>
          <w:bCs/>
          <w:iCs/>
        </w:rPr>
        <w:br/>
        <w:t>Риски, связанные с изменением судебной практики по вопросам, связанным с финансово-хозяйственной деятельностью 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Pr>
          <w:rStyle w:val="Subst"/>
          <w:bCs/>
          <w:iCs/>
        </w:rPr>
        <w:br/>
        <w:t>1. Согласно сложившейся судебной практике, Арбитражный суд Республики Мордовия при приеме заявлений о признании несостоятельными (банкротами) предприятий ЖКХ - субъектов естественных монополий откладыв</w:t>
      </w:r>
      <w:r w:rsidR="00C80753">
        <w:rPr>
          <w:rStyle w:val="Subst"/>
          <w:bCs/>
          <w:iCs/>
        </w:rPr>
        <w:t>а</w:t>
      </w:r>
      <w:r>
        <w:rPr>
          <w:rStyle w:val="Subst"/>
          <w:bCs/>
          <w:iCs/>
        </w:rPr>
        <w:t xml:space="preserve">ет рассмотрение заявлений кредитора ПАО "Мордовская энергосбытовая компания". Затягивание процесса происходит при отсутствии согласия саморегулируемой организации, из числа членов которой может быть утвержден арбитражный управляющий и отсутствия депозита на содержание управляющего. Практика негативно сказывается на результатах деятельности эмитента, поскольку задолженность потребителей электроэнергии – субъектов естественных монополий постоянно увеличивается. </w:t>
      </w:r>
      <w:r>
        <w:rPr>
          <w:rStyle w:val="Subst"/>
          <w:bCs/>
          <w:iCs/>
        </w:rPr>
        <w:br/>
        <w:t xml:space="preserve">2. Риски, связанные с отказом в принятии заявления от должника (по собственной инициативе), от кредиторов (уполномоченного органа) о признании несостоятельными (банкротами) Муниципального унитарного предприятия </w:t>
      </w:r>
      <w:proofErr w:type="spellStart"/>
      <w:r>
        <w:rPr>
          <w:rStyle w:val="Subst"/>
          <w:bCs/>
          <w:iCs/>
        </w:rPr>
        <w:t>Лямбирского</w:t>
      </w:r>
      <w:proofErr w:type="spellEnd"/>
      <w:r>
        <w:rPr>
          <w:rStyle w:val="Subst"/>
          <w:bCs/>
          <w:iCs/>
        </w:rPr>
        <w:t xml:space="preserve"> муниципального района Республики Мордовия "Жилищно-коммунальное хозяйство "</w:t>
      </w:r>
      <w:proofErr w:type="spellStart"/>
      <w:r>
        <w:rPr>
          <w:rStyle w:val="Subst"/>
          <w:bCs/>
          <w:iCs/>
        </w:rPr>
        <w:t>Елховское</w:t>
      </w:r>
      <w:proofErr w:type="spellEnd"/>
      <w:r>
        <w:rPr>
          <w:rStyle w:val="Subst"/>
          <w:bCs/>
          <w:iCs/>
        </w:rPr>
        <w:t xml:space="preserve">" (431510, Республика Мордовия, </w:t>
      </w:r>
      <w:proofErr w:type="spellStart"/>
      <w:r>
        <w:rPr>
          <w:rStyle w:val="Subst"/>
          <w:bCs/>
          <w:iCs/>
        </w:rPr>
        <w:t>Лямбирский</w:t>
      </w:r>
      <w:proofErr w:type="spellEnd"/>
      <w:r>
        <w:rPr>
          <w:rStyle w:val="Subst"/>
          <w:bCs/>
          <w:iCs/>
        </w:rPr>
        <w:t xml:space="preserve"> район, с. </w:t>
      </w:r>
      <w:proofErr w:type="spellStart"/>
      <w:r>
        <w:rPr>
          <w:rStyle w:val="Subst"/>
          <w:bCs/>
          <w:iCs/>
        </w:rPr>
        <w:t>Лямбирь</w:t>
      </w:r>
      <w:proofErr w:type="spellEnd"/>
      <w:r>
        <w:rPr>
          <w:rStyle w:val="Subst"/>
          <w:bCs/>
          <w:iCs/>
        </w:rPr>
        <w:t xml:space="preserve">, ул. Полевая, д. 17, ОГРН 1021301064718, ИНН 1315099524), АО «Водопроводно-канализационное хозяйство» (431444, Республика Мордовия, г. Рузаевка, ул. Кутузова, д. 89, ОГРН 1061324010461), согласно позиции Арбитражного суда РМ отсутствуют признаки банкротства, определенные ст. 197 Закона о банкротстве. Указанная практика негативно сказывается на результатах деятельности эмитента, поскольку задолженность потребителей электроэнергии – субъектов естественных монополий постоянно увеличивается. </w:t>
      </w:r>
      <w:r>
        <w:rPr>
          <w:rStyle w:val="Subst"/>
          <w:bCs/>
          <w:iCs/>
        </w:rPr>
        <w:br/>
        <w:t xml:space="preserve">3. Риски, связанные с взысканием штрафов согласно Закона о защите прав потребителей. Эмитент является ответчиком по делам, связанным с взысканием ущерба в результате некачественной подачи электрической энергии. В случае взыскания ущерба с эмитента по указанным основаниям, эмитент обращается в суд в порядке регресса к сетевой компании, поскольку передача электрической энергии осуществлялась по сетям сетевой компании. Согласно сложившейся судебной практике, гарантирующим поставщиком взыскиваются убытки в порядке регресса, но за исключением штрафа. </w:t>
      </w:r>
      <w:r>
        <w:rPr>
          <w:rStyle w:val="Subst"/>
          <w:bCs/>
          <w:iCs/>
        </w:rPr>
        <w:br/>
        <w:t>В случае изменения судебной практики по вопросам, связанным с деятельностью эмитента, эмитент намерен планировать свою финансово-хозяйственную деятельность с учетом этих изменений. С целью сокращения вероятности реализации рисков, связанных с судебной работой, постоянно проводится мониторинг нормативных правовых актов, регламентирующих проведение судебных процессов, отстаиваются в вышестоящих судебных инстанциях позиции, принятые представителями Общества, оспаривается неправомерное принятие решений по результатам судебных процессов.</w:t>
      </w:r>
      <w:r>
        <w:rPr>
          <w:rStyle w:val="Subst"/>
          <w:bCs/>
          <w:iCs/>
        </w:rPr>
        <w:br/>
      </w:r>
      <w:r>
        <w:rPr>
          <w:rStyle w:val="Subst"/>
          <w:bCs/>
          <w:iCs/>
        </w:rPr>
        <w:br/>
        <w:t>Кроме этого, для минимизации различного рода правовых рисков эмитент в обязательном порядке осуществляет:</w:t>
      </w:r>
      <w:r>
        <w:rPr>
          <w:rStyle w:val="Subst"/>
          <w:bCs/>
          <w:iCs/>
        </w:rPr>
        <w:br/>
        <w:t>- предварительный правовой анализ заключаемых сделок, в том числе на предмет наличия оснований проведения предварительных корпоративных процедур, предусмотренных действующим законодательством и/или уставом. В случае необходимости соответствующие сделки выносятся на рассмотрение компетентных органов управления эмитента.</w:t>
      </w:r>
      <w:r>
        <w:rPr>
          <w:rStyle w:val="Subst"/>
          <w:bCs/>
          <w:iCs/>
        </w:rPr>
        <w:br/>
        <w:t>- обеспечение оценки и анализа законодательства в области электроэнергетики;</w:t>
      </w:r>
      <w:r>
        <w:rPr>
          <w:rStyle w:val="Subst"/>
          <w:bCs/>
          <w:iCs/>
        </w:rPr>
        <w:br/>
        <w:t>- наращивание и конкретизацию работы с контролирующими и правоохранительными органами по выработке решений, приемлемых для деятельности эмитента;</w:t>
      </w:r>
      <w:r>
        <w:rPr>
          <w:rStyle w:val="Subst"/>
          <w:bCs/>
          <w:iCs/>
        </w:rPr>
        <w:br/>
        <w:t>- подготовка внутренних стандартов;</w:t>
      </w:r>
      <w:r>
        <w:rPr>
          <w:rStyle w:val="Subst"/>
          <w:bCs/>
          <w:iCs/>
        </w:rPr>
        <w:br/>
      </w:r>
      <w:r>
        <w:rPr>
          <w:rStyle w:val="Subst"/>
          <w:bCs/>
          <w:iCs/>
        </w:rPr>
        <w:lastRenderedPageBreak/>
        <w:t>- досудебное урегулирование споров, а также понуждение к исполнению контрагентами обязательств перед эмитентом в судебном порядке;</w:t>
      </w:r>
      <w:r>
        <w:rPr>
          <w:rStyle w:val="Subst"/>
          <w:bCs/>
          <w:iCs/>
        </w:rPr>
        <w:br/>
        <w:t>- привлечение к участию в судебных заседаниях всех подразделений эмитента, заинтересованных в судебном решении.</w:t>
      </w:r>
      <w:r>
        <w:rPr>
          <w:rStyle w:val="Subst"/>
          <w:bCs/>
          <w:iCs/>
        </w:rPr>
        <w:br/>
      </w:r>
      <w:r>
        <w:rPr>
          <w:rStyle w:val="Subst"/>
          <w:bCs/>
          <w:iCs/>
        </w:rPr>
        <w:br/>
        <w:t>Риски, связанные с текущими судебными процессами:</w:t>
      </w:r>
      <w:r>
        <w:rPr>
          <w:rStyle w:val="Subst"/>
          <w:bCs/>
          <w:iCs/>
        </w:rPr>
        <w:br/>
        <w:t>Отмечаются отрицательные тенденции по результатам судебных решений по взысканию с эмитента задолженности, сложившейся ввиду возникших разногласий по объемам и стоимости оказанных услуг по передаче электрической энергии с ПАО "</w:t>
      </w:r>
      <w:proofErr w:type="spellStart"/>
      <w:r>
        <w:rPr>
          <w:rStyle w:val="Subst"/>
          <w:bCs/>
          <w:iCs/>
        </w:rPr>
        <w:t>Россети</w:t>
      </w:r>
      <w:proofErr w:type="spellEnd"/>
      <w:r>
        <w:rPr>
          <w:rStyle w:val="Subst"/>
          <w:bCs/>
          <w:iCs/>
        </w:rPr>
        <w:t>". Присутствует риск взыскания задолженности с эмитента, неустойки и госпошлины.</w:t>
      </w:r>
    </w:p>
    <w:p w:rsidR="0076611B" w:rsidRDefault="0076611B" w:rsidP="00E223A1">
      <w:pPr>
        <w:pStyle w:val="2"/>
        <w:jc w:val="both"/>
      </w:pPr>
      <w:bookmarkStart w:id="24" w:name="_Toc196398465"/>
      <w:r>
        <w:t>1.9.5. Риск потери деловой репутации (репутационный риск)</w:t>
      </w:r>
      <w:bookmarkEnd w:id="24"/>
    </w:p>
    <w:p w:rsidR="0076611B" w:rsidRDefault="0076611B" w:rsidP="00E223A1">
      <w:pPr>
        <w:ind w:left="200"/>
        <w:jc w:val="both"/>
      </w:pPr>
      <w:r>
        <w:rPr>
          <w:rStyle w:val="Subst"/>
          <w:bCs/>
          <w:iCs/>
        </w:rPr>
        <w:t>В связи с тем, что по состоянию на 31.12.2024 г. и ранее никаких предпосылок о формировании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 вследствие публикаций в средствах массовой информации не возникало, то данный риск оценивается эмитентом как минимальный. Являясь публичной компанией, ПАО «Мордовская энергосбытовая компания» учитывает репутационную составляющую деятельности и принимает меры по нивелированию негативного влияния рисков на деловую репутацию Общества.</w:t>
      </w:r>
      <w:r>
        <w:rPr>
          <w:rStyle w:val="Subst"/>
          <w:bCs/>
          <w:iCs/>
        </w:rPr>
        <w:br/>
        <w:t>Для управления репутационным риском ПАО «Мордовская энергосбытовая компания» строго выполняет положения об информационной политике Общества, определяющее правила взаимодействия с общественностью, обеспечивает положительный информационный поток о деятельности компании, своевременное раскрытие информации Общества как эмитента ценных бумаг и иные мероприятия.</w:t>
      </w:r>
      <w:r>
        <w:rPr>
          <w:rStyle w:val="Subst"/>
          <w:bCs/>
          <w:iCs/>
        </w:rPr>
        <w:br/>
        <w:t>Компания придерживается принципов достоверности, прозрачности и своевременности раскрытия информации в открытых источниках. Также Общество контролирует риски распространения инсайдерской информации в целях предотвращения случаев мошенничества с использованием инсайдерской информации и манипулированием ценами на рынке ценных бумаг.</w:t>
      </w:r>
    </w:p>
    <w:p w:rsidR="0076611B" w:rsidRDefault="0076611B" w:rsidP="00E223A1">
      <w:pPr>
        <w:pStyle w:val="2"/>
        <w:jc w:val="both"/>
      </w:pPr>
      <w:bookmarkStart w:id="25" w:name="_Toc196398466"/>
      <w:r>
        <w:t>1.9.6. Стратегический риск</w:t>
      </w:r>
      <w:bookmarkEnd w:id="25"/>
    </w:p>
    <w:p w:rsidR="0076611B" w:rsidRDefault="0076611B" w:rsidP="00E223A1">
      <w:pPr>
        <w:ind w:left="200"/>
        <w:jc w:val="both"/>
      </w:pPr>
      <w:r>
        <w:rPr>
          <w:rStyle w:val="Subst"/>
          <w:bCs/>
          <w:iCs/>
        </w:rPr>
        <w:t xml:space="preserve">Стратегический риск - это риск возникновения у Общества убытков в результате ошибок (недостатков), допущенных при принятии решений, определяющих стратегию деятельности и развития Общества (стратегическое управление) и выражающихся в </w:t>
      </w:r>
      <w:proofErr w:type="spellStart"/>
      <w:r>
        <w:rPr>
          <w:rStyle w:val="Subst"/>
          <w:bCs/>
          <w:iCs/>
        </w:rPr>
        <w:t>неучете</w:t>
      </w:r>
      <w:proofErr w:type="spellEnd"/>
      <w:r>
        <w:rPr>
          <w:rStyle w:val="Subst"/>
          <w:bCs/>
          <w:iCs/>
        </w:rPr>
        <w:t xml:space="preserve"> или недостаточном учете возможных опасностей, которые могут угрожать деятельности Общества, неправильном или недостаточно обоснованном определении перспективных направлений деятельности, в которых Общество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Общества</w:t>
      </w:r>
      <w:r>
        <w:rPr>
          <w:rStyle w:val="Subst"/>
          <w:bCs/>
          <w:iCs/>
        </w:rPr>
        <w:br/>
        <w:t>Стратегический риск связан с разработкой и воплощением бизнес-решений и зависит от того, как управленческий аппарат анализирует внешние факторы, оказывающие влияние на стратегическое развитие бизнеса. Управление указанным риском является частью системы управления рисками, в рамках которого производится тщательная проработка управленческих решений, оцениваются возможности Общества, определяются перспективные направления, новые тенденции, конкурентные преимущества, а также планируются меры по достижению поставленных целей.</w:t>
      </w:r>
      <w:r>
        <w:rPr>
          <w:rStyle w:val="Subst"/>
          <w:bCs/>
          <w:iCs/>
        </w:rPr>
        <w:br/>
        <w:t>Форс-мажорные и другие обстоятельства, такие, как например социальные и макроэкономические потрясения, глобальные стихийные бедствия, являются неотъемлемой частью стратегических рисков и могут влиять на достижение эмитентом запланированных целей.</w:t>
      </w:r>
      <w:r>
        <w:rPr>
          <w:rStyle w:val="Subst"/>
          <w:bCs/>
          <w:iCs/>
        </w:rPr>
        <w:br/>
        <w:t>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К таким действиям могут относиться такие меры как:</w:t>
      </w:r>
      <w:r>
        <w:rPr>
          <w:rStyle w:val="Subst"/>
          <w:bCs/>
          <w:iCs/>
        </w:rPr>
        <w:br/>
        <w:t>- правильная организация внешнего и внутреннего аудита, системы внешнего и внутреннего контроля;</w:t>
      </w:r>
      <w:r>
        <w:rPr>
          <w:rStyle w:val="Subst"/>
          <w:bCs/>
          <w:iCs/>
        </w:rPr>
        <w:br/>
        <w:t>- совершенствование системы корпоративного управления;</w:t>
      </w:r>
      <w:r>
        <w:rPr>
          <w:rStyle w:val="Subst"/>
          <w:bCs/>
          <w:iCs/>
        </w:rPr>
        <w:br/>
        <w:t>- улучшение качества кредитного портфеля;</w:t>
      </w:r>
      <w:r>
        <w:rPr>
          <w:rStyle w:val="Subst"/>
          <w:bCs/>
          <w:iCs/>
        </w:rPr>
        <w:br/>
        <w:t>- оптимизация внутренних управленческих правил и процедур, бизнес-процессов, организационной структуры, системы управления в целом;</w:t>
      </w:r>
      <w:r>
        <w:rPr>
          <w:rStyle w:val="Subst"/>
          <w:bCs/>
          <w:iCs/>
        </w:rPr>
        <w:br/>
        <w:t>- организация и контроль системы принятия решений и делегирования полномочий;</w:t>
      </w:r>
      <w:r>
        <w:rPr>
          <w:rStyle w:val="Subst"/>
          <w:bCs/>
          <w:iCs/>
        </w:rPr>
        <w:br/>
      </w:r>
      <w:r>
        <w:rPr>
          <w:rStyle w:val="Subst"/>
          <w:bCs/>
          <w:iCs/>
        </w:rPr>
        <w:lastRenderedPageBreak/>
        <w:t>- всесторонняя оценка ресурсов, необходимых для реализации стратегических целевых установок.</w:t>
      </w:r>
      <w:r>
        <w:rPr>
          <w:rStyle w:val="Subst"/>
          <w:bCs/>
          <w:iCs/>
        </w:rPr>
        <w:br/>
        <w:t>Кроме этого, в целях снижения данного риска производится совершенствование структуры управления компании, и постоянно проводится работа по изучению, анализу и совершенствованию бизнес-процессов.</w:t>
      </w:r>
      <w:r>
        <w:rPr>
          <w:rStyle w:val="Subst"/>
          <w:bCs/>
          <w:iCs/>
        </w:rPr>
        <w:br/>
        <w:t>Стратегический риск оценивается как несущественный.</w:t>
      </w:r>
    </w:p>
    <w:p w:rsidR="0076611B" w:rsidRDefault="0076611B" w:rsidP="00E223A1">
      <w:pPr>
        <w:pStyle w:val="2"/>
        <w:jc w:val="both"/>
      </w:pPr>
      <w:bookmarkStart w:id="26" w:name="_Toc196398467"/>
      <w:r>
        <w:t>1.9.7. Риски, связанные с деятельностью эмитента</w:t>
      </w:r>
      <w:bookmarkEnd w:id="26"/>
    </w:p>
    <w:p w:rsidR="0076611B" w:rsidRDefault="0076611B" w:rsidP="00E223A1">
      <w:pPr>
        <w:ind w:left="200"/>
        <w:jc w:val="both"/>
      </w:pPr>
      <w:r>
        <w:rPr>
          <w:rStyle w:val="Subst"/>
          <w:bCs/>
          <w:iCs/>
        </w:rPr>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Pr>
          <w:rStyle w:val="Subst"/>
          <w:bCs/>
          <w:iCs/>
        </w:rPr>
        <w:br/>
        <w:t>В отчетном периоде эмитент не осуществлял деятельности, которая в соответствии с законодательством Российской Федерации требует наличия лицензии. В данной связи риски, связанные с отсутствием возможности продлить действие лицензии Общества на ведение определенного вида деятельности, отсутствуют.</w:t>
      </w:r>
      <w:r>
        <w:rPr>
          <w:rStyle w:val="Subst"/>
          <w:bCs/>
          <w:iCs/>
        </w:rPr>
        <w:br/>
        <w:t>Отдельно про риски, связанные с изменениями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 описано в п 1.9.4 "Правовые риски".</w:t>
      </w:r>
      <w:r>
        <w:rPr>
          <w:rStyle w:val="Subst"/>
          <w:bCs/>
          <w:iCs/>
        </w:rPr>
        <w:br/>
      </w:r>
      <w:r>
        <w:rPr>
          <w:rStyle w:val="Subst"/>
          <w:bCs/>
          <w:iCs/>
        </w:rPr>
        <w:br/>
        <w:t>Риски, связанные с возможной ответственностью эмитента по долгам третьих лиц, в том числе дочерних обществ эмитента.</w:t>
      </w:r>
      <w:r>
        <w:rPr>
          <w:rStyle w:val="Subst"/>
          <w:bCs/>
          <w:iCs/>
        </w:rPr>
        <w:br/>
        <w:t>Риск возможной ответственности Общества по долгам третьих лиц отсутствует и не может оказать влияния на финансовое состояние эмитента, так как дочерние и зависимые общества у Общества отсутствуют, поручительств за третьих лиц Обществом не выдавались.</w:t>
      </w:r>
      <w:r>
        <w:rPr>
          <w:rStyle w:val="Subst"/>
          <w:bCs/>
          <w:iCs/>
        </w:rPr>
        <w:br/>
      </w:r>
      <w:r>
        <w:rPr>
          <w:rStyle w:val="Subst"/>
          <w:bCs/>
          <w:iCs/>
        </w:rPr>
        <w:b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bCs/>
          <w:iCs/>
        </w:rPr>
        <w:br/>
        <w:t xml:space="preserve">Указанный риск связан с возможным переходом потребителей на покупку электрической энергии с оптового рынка, а также с переходом потребителей к независимым энергосбытовым компаниям, работающим на рынке электроэнергетики региона или имеющим такое намерение, со строительством потребителями собственной генерации. Данный риск оценивается эмитентом как низкий в связи с отсутствием таких потребителей. </w:t>
      </w:r>
      <w:r>
        <w:rPr>
          <w:rStyle w:val="Subst"/>
          <w:bCs/>
          <w:iCs/>
        </w:rPr>
        <w:br/>
      </w:r>
      <w:r>
        <w:rPr>
          <w:rStyle w:val="Subst"/>
          <w:bCs/>
          <w:iCs/>
        </w:rPr>
        <w:br/>
        <w:t>Риски, связанные с расчётами с сетевыми организациями.</w:t>
      </w:r>
      <w:r>
        <w:rPr>
          <w:rStyle w:val="Subst"/>
          <w:bCs/>
          <w:iCs/>
        </w:rPr>
        <w:br/>
        <w:t xml:space="preserve">Общество оценивает риски, связанные с расчётами с сетевой организацией, как существенные. Реализация данных рисков приводит к росту кредиторской задолженности Общества по оплате услуг по передаче и встречной дебиторской задолженности по оплате потерь, что приводит к росту риска ликвидности. </w:t>
      </w:r>
      <w:r>
        <w:rPr>
          <w:rStyle w:val="Subst"/>
          <w:bCs/>
          <w:iCs/>
        </w:rPr>
        <w:br/>
        <w:t xml:space="preserve">Основным фактором, влияющим на реализацию данных рисков, являются различия (т.е. разногласия), возникающие при определении (гарантирующим поставщиком и сетевой организацией) полезного отпуска электроэнергии в зоне деятельности гарантирующего поставщика. </w:t>
      </w:r>
      <w:r>
        <w:rPr>
          <w:rStyle w:val="Subst"/>
          <w:bCs/>
          <w:iCs/>
        </w:rPr>
        <w:br/>
        <w:t xml:space="preserve">Ситуация усложняется различиями в существующей судебной практике при рассмотрении данных нарушений. </w:t>
      </w:r>
      <w:r>
        <w:rPr>
          <w:rStyle w:val="Subst"/>
          <w:bCs/>
          <w:iCs/>
        </w:rPr>
        <w:br/>
        <w:t>Для снижения данного риска Обществом реализуются следующие мероприятия:</w:t>
      </w:r>
      <w:r>
        <w:rPr>
          <w:rStyle w:val="Subst"/>
          <w:bCs/>
          <w:iCs/>
        </w:rPr>
        <w:br/>
        <w:t>- осуществляется операционный контроль за недопущением возникновения просроченной дебиторской задолженности, реструктуризация уже имеющейся дебиторской задолженности и списание нереальных ко взысканию долгов;</w:t>
      </w:r>
      <w:r>
        <w:rPr>
          <w:rStyle w:val="Subst"/>
          <w:bCs/>
          <w:iCs/>
        </w:rPr>
        <w:br/>
        <w:t>- проводится работа по снятию разногласий с сетевыми компаниями;</w:t>
      </w:r>
      <w:r>
        <w:rPr>
          <w:rStyle w:val="Subst"/>
          <w:bCs/>
          <w:iCs/>
        </w:rPr>
        <w:br/>
        <w:t>- ведется претензионно-исковая работа, в том числе, по снятию вышеуказанных разногласий с сетевыми организациями;</w:t>
      </w:r>
      <w:r>
        <w:rPr>
          <w:rStyle w:val="Subst"/>
          <w:bCs/>
          <w:iCs/>
        </w:rPr>
        <w:br/>
        <w:t>- происходит изучение актуальной судебной практики, связанной с применением норм, предусмотренных Основными положениями функционирования розничных рынков электрической энергии, что обеспечивает оперативность применения указанных норм в деятельности Общества с целью сохранения баланса интересов потребителя электрической энергии, гарантирующего поставщика и сетевой организации.</w:t>
      </w:r>
      <w:r>
        <w:rPr>
          <w:rStyle w:val="Subst"/>
          <w:bCs/>
          <w:iCs/>
        </w:rPr>
        <w:br/>
        <w:t>С учетом проводимой работы, данный риск снижен до приемлемого для Общества уровня.</w:t>
      </w:r>
    </w:p>
    <w:p w:rsidR="0076611B" w:rsidRDefault="0076611B" w:rsidP="00E223A1">
      <w:pPr>
        <w:pStyle w:val="2"/>
        <w:jc w:val="both"/>
      </w:pPr>
      <w:bookmarkStart w:id="27" w:name="_Toc196398468"/>
      <w:r>
        <w:t>1.9.8. Риск информационной безопасности</w:t>
      </w:r>
      <w:bookmarkEnd w:id="27"/>
    </w:p>
    <w:p w:rsidR="0076611B" w:rsidRDefault="0076611B" w:rsidP="00E223A1">
      <w:pPr>
        <w:ind w:left="200"/>
        <w:jc w:val="both"/>
      </w:pPr>
      <w:r>
        <w:rPr>
          <w:rStyle w:val="Subst"/>
          <w:bCs/>
          <w:iCs/>
        </w:rPr>
        <w:t xml:space="preserve">Эмитент осознает важность современных и актуальных угроз информационной безопасности в условиях автоматизации и цифровизации бизнес- и технологических процессов. Процессы управления и обеспечения информационной безопасности, оперативного мониторинга и оценки </w:t>
      </w:r>
      <w:r>
        <w:rPr>
          <w:rStyle w:val="Subst"/>
          <w:bCs/>
          <w:iCs/>
        </w:rPr>
        <w:lastRenderedPageBreak/>
        <w:t>состояния защищенности ИТ-активов эмитента постоянно совершенствуются согласно требованиям регулирующих органов в области обеспечения защиты информации. При осуществлении повседневной деятельности соблюдаются принципы, правила и требования информационной безопасности.</w:t>
      </w:r>
      <w:r>
        <w:rPr>
          <w:rStyle w:val="Subst"/>
          <w:bCs/>
          <w:iCs/>
        </w:rPr>
        <w:br/>
        <w:t>Эмитент выделяет риски нарушения целостности, доступности, конфиденциальности данных, которые включают в себя угрозу несанкционированного доступа к информации или действия с информацией, нарушающие правила разграничения доступа с использованием штатных средств, предоставляемых средствами вычислительной техники, автоматизированными системами, и угрозу несанкционированного доведения защищаемой информации до лиц, не имеющих права доступа к этой информации. В виду сложившейся геополитической обстановки риски информационной безопасности являются существенными. Основными мероприятиями эмитента по управлению риском информационной безопасности являются:</w:t>
      </w:r>
      <w:r>
        <w:rPr>
          <w:rStyle w:val="Subst"/>
          <w:bCs/>
          <w:iCs/>
        </w:rPr>
        <w:br/>
        <w:t>- повышение осведомленности работников эмитента в области информационной безопасности;</w:t>
      </w:r>
      <w:r>
        <w:rPr>
          <w:rStyle w:val="Subst"/>
          <w:bCs/>
          <w:iCs/>
        </w:rPr>
        <w:br/>
        <w:t>- совершенствование процессов информационной безопасности;</w:t>
      </w:r>
      <w:r>
        <w:rPr>
          <w:rStyle w:val="Subst"/>
          <w:bCs/>
          <w:iCs/>
        </w:rPr>
        <w:br/>
        <w:t>- организация защиты от сетевых атак и несанкционированного доступа;</w:t>
      </w:r>
      <w:r>
        <w:rPr>
          <w:rStyle w:val="Subst"/>
          <w:bCs/>
          <w:iCs/>
        </w:rPr>
        <w:br/>
        <w:t>- организация защиты от вредоносного программного обеспечения;</w:t>
      </w:r>
      <w:r>
        <w:rPr>
          <w:rStyle w:val="Subst"/>
          <w:bCs/>
          <w:iCs/>
        </w:rPr>
        <w:br/>
        <w:t>- резервное копирование информации на локальный и физически удаленный сетевые ресурсы.</w:t>
      </w:r>
    </w:p>
    <w:p w:rsidR="0076611B" w:rsidRDefault="0076611B" w:rsidP="00E223A1">
      <w:pPr>
        <w:pStyle w:val="2"/>
        <w:jc w:val="both"/>
      </w:pPr>
      <w:bookmarkStart w:id="28" w:name="_Toc196398469"/>
      <w:r>
        <w:t>1.9.9. Экологический риск</w:t>
      </w:r>
      <w:bookmarkEnd w:id="28"/>
    </w:p>
    <w:p w:rsidR="0076611B" w:rsidRDefault="0076611B" w:rsidP="00E223A1">
      <w:pPr>
        <w:ind w:left="200"/>
        <w:jc w:val="both"/>
      </w:pPr>
      <w:r>
        <w:rPr>
          <w:rStyle w:val="Subst"/>
          <w:bCs/>
          <w:iCs/>
        </w:rPr>
        <w:t>Экологические риски – это вероятность наступления событий, имеющих неблагоприятные последствия для состояния окружающей среды, здоровья населения, деятельности предприятия и вызванных загрязнением окружающей среды, нарушением экологических требований, чрезвычайными ситуациями природного и техногенного характера. ПАО «Мордовская энергосбытовая компания»», как сбытовая компания, не владеет объектами, потенциально опасными для окружающей среды, риск ухудшения экологической ситуации в связи с деятельностью Общества отсутствует. Общество организует обучение работников по соответствующим программам подготовки, ежегодно производится расчет платы за негативное воздействие на окружающую среду, затраты на экологические отчисления минимальны.</w:t>
      </w:r>
    </w:p>
    <w:p w:rsidR="0076611B" w:rsidRDefault="0076611B" w:rsidP="00E223A1">
      <w:pPr>
        <w:pStyle w:val="2"/>
        <w:jc w:val="both"/>
      </w:pPr>
      <w:bookmarkStart w:id="29" w:name="_Toc196398470"/>
      <w:r>
        <w:t>1.9.10. Природно-климатический риск</w:t>
      </w:r>
      <w:bookmarkEnd w:id="29"/>
    </w:p>
    <w:p w:rsidR="0076611B" w:rsidRDefault="0076611B" w:rsidP="00E223A1">
      <w:pPr>
        <w:ind w:left="200"/>
        <w:jc w:val="both"/>
      </w:pPr>
      <w:r>
        <w:rPr>
          <w:rStyle w:val="Subst"/>
          <w:bCs/>
          <w:iCs/>
        </w:rPr>
        <w:t>Природно-климатические риски - риски, связанные с воздействием на производственно-хозяйственную деятельность эмитента стихийных сил природы, в том числе землетрясений, наводнений, бурь, эпидемий.</w:t>
      </w:r>
      <w:r>
        <w:rPr>
          <w:rStyle w:val="Subst"/>
          <w:bCs/>
          <w:iCs/>
        </w:rPr>
        <w:br/>
        <w:t>Деятельность Общества, как и само Общество, не имеют повышенной чувствительности к изменению климата, стихийным катаклизмам.</w:t>
      </w:r>
      <w:r>
        <w:rPr>
          <w:rStyle w:val="Subst"/>
          <w:bCs/>
          <w:iCs/>
        </w:rPr>
        <w:br/>
        <w:t>В случае возникновения самих рисков природно-климатического характера, Обществом будут предприниматься мероприятия по минимизации влияния таких событий на производственную деятельность и финансовый результат.</w:t>
      </w:r>
    </w:p>
    <w:p w:rsidR="0076611B" w:rsidRDefault="0076611B" w:rsidP="00E223A1">
      <w:pPr>
        <w:pStyle w:val="2"/>
        <w:jc w:val="both"/>
      </w:pPr>
      <w:bookmarkStart w:id="30" w:name="_Toc196398471"/>
      <w:r>
        <w:t>1.9.11. Риски кредитных организаций</w:t>
      </w:r>
      <w:bookmarkEnd w:id="30"/>
    </w:p>
    <w:p w:rsidR="0076611B" w:rsidRDefault="0076611B" w:rsidP="00E223A1">
      <w:pPr>
        <w:ind w:left="200"/>
        <w:jc w:val="both"/>
      </w:pPr>
      <w:r>
        <w:t>Эмитент не является кредитной организацией</w:t>
      </w:r>
    </w:p>
    <w:p w:rsidR="0076611B" w:rsidRDefault="0076611B" w:rsidP="00E223A1">
      <w:pPr>
        <w:pStyle w:val="2"/>
        <w:jc w:val="both"/>
      </w:pPr>
      <w:bookmarkStart w:id="31" w:name="_Toc196398472"/>
      <w:r>
        <w:t>1.9.12. Иные риски, которые являются существенными для эмитента (группы эмитента)</w:t>
      </w:r>
      <w:bookmarkEnd w:id="31"/>
    </w:p>
    <w:p w:rsidR="009568D7" w:rsidRPr="009568D7" w:rsidRDefault="0076611B" w:rsidP="009568D7">
      <w:pPr>
        <w:ind w:left="200"/>
        <w:jc w:val="both"/>
        <w:rPr>
          <w:rStyle w:val="Subst"/>
          <w:bCs/>
          <w:iCs/>
        </w:rPr>
      </w:pPr>
      <w:r>
        <w:rPr>
          <w:rStyle w:val="Subst"/>
          <w:bCs/>
          <w:iCs/>
        </w:rPr>
        <w:t xml:space="preserve">Иные риски, связанные с деятельностью Общества. </w:t>
      </w:r>
      <w:r>
        <w:rPr>
          <w:rStyle w:val="Subst"/>
          <w:bCs/>
          <w:iCs/>
        </w:rPr>
        <w:br/>
      </w:r>
      <w:r>
        <w:rPr>
          <w:rStyle w:val="Subst"/>
          <w:bCs/>
          <w:iCs/>
        </w:rPr>
        <w:br/>
      </w:r>
      <w:r w:rsidR="009568D7" w:rsidRPr="009568D7">
        <w:rPr>
          <w:rStyle w:val="Subst"/>
          <w:bCs/>
          <w:iCs/>
        </w:rPr>
        <w:t>К этой группе рисков относится существенное изменение в сторону увеличения или уменьшения уровня цен на рынке энергоресурсов.</w:t>
      </w:r>
    </w:p>
    <w:p w:rsidR="009568D7" w:rsidRPr="009568D7" w:rsidRDefault="009568D7" w:rsidP="009568D7">
      <w:pPr>
        <w:ind w:left="200"/>
        <w:jc w:val="both"/>
        <w:rPr>
          <w:rStyle w:val="Subst"/>
          <w:bCs/>
          <w:iCs/>
        </w:rPr>
      </w:pPr>
      <w:r w:rsidRPr="009568D7">
        <w:rPr>
          <w:rStyle w:val="Subst"/>
          <w:bCs/>
          <w:iCs/>
        </w:rPr>
        <w:t xml:space="preserve">В 2024 году для группы «население и приравненные к нему категории потребителей» впервые были утверждены тарифы с дифференциацией по объемам потребления электроэнергии в зависимости от ежемесячного фактического объема потребления. </w:t>
      </w:r>
    </w:p>
    <w:p w:rsidR="009568D7" w:rsidRPr="009568D7" w:rsidRDefault="009568D7" w:rsidP="009568D7">
      <w:pPr>
        <w:ind w:left="200"/>
        <w:jc w:val="both"/>
        <w:rPr>
          <w:rStyle w:val="Subst"/>
          <w:bCs/>
          <w:iCs/>
        </w:rPr>
      </w:pPr>
      <w:r w:rsidRPr="009568D7">
        <w:rPr>
          <w:rStyle w:val="Subst"/>
          <w:bCs/>
          <w:iCs/>
        </w:rPr>
        <w:t xml:space="preserve">Тарифы для группы «население» для первого диапазона потребления электроэнергии были утверждены ниже экономически обоснованного уровня. Для второго и третьего диапазона потребления тарифы установлены на экономически обоснованном уровне, при этом размер утвержденной сбытовой надбавки утверждается для всех трех диапазонов потребления на одном уровне.  Установления пониженных сбытовых надбавок для группы «население» формирует перекрестное субсидирование для прочих групп потребителей. Перераспределение «тарифной нагрузки» с населения на прочих потребителей приводит к тому, что многие крупные промышленные предприятия переходят на иные источники покупки электрической энергии: уходят на оптовый рынок и вводят собственную генерацию. Данная ситуация оказывает </w:t>
      </w:r>
      <w:r w:rsidRPr="009568D7">
        <w:rPr>
          <w:rStyle w:val="Subst"/>
          <w:bCs/>
          <w:iCs/>
        </w:rPr>
        <w:lastRenderedPageBreak/>
        <w:t>негативное влияние на гарантирующих поставщиков региона, так как снижение объемов полезного отпуска электрической энергии оказывает влияние на рост тарифов для оставшихся потребителей, что в свою очередь провоцирует очередной уход потребителей.</w:t>
      </w:r>
    </w:p>
    <w:p w:rsidR="009568D7" w:rsidRPr="009568D7" w:rsidRDefault="009568D7" w:rsidP="009568D7">
      <w:pPr>
        <w:ind w:left="200"/>
        <w:jc w:val="both"/>
        <w:rPr>
          <w:rStyle w:val="Subst"/>
          <w:bCs/>
          <w:iCs/>
        </w:rPr>
      </w:pPr>
      <w:r w:rsidRPr="009568D7">
        <w:rPr>
          <w:rStyle w:val="Subst"/>
          <w:bCs/>
          <w:iCs/>
        </w:rPr>
        <w:t>Действующим законодательством в электроэнергетике предусмотрено строгое исполнение обязательств по оплате электрической энергии</w:t>
      </w:r>
      <w:r w:rsidR="00B30CEF">
        <w:rPr>
          <w:rStyle w:val="Subst"/>
          <w:bCs/>
          <w:iCs/>
        </w:rPr>
        <w:t xml:space="preserve"> </w:t>
      </w:r>
      <w:r w:rsidRPr="009568D7">
        <w:rPr>
          <w:rStyle w:val="Subst"/>
          <w:bCs/>
          <w:iCs/>
        </w:rPr>
        <w:t>(мощности) перед поставщиками оптового рынка и возникающие кассовые разрывы покрывают за счет привлечения кредитных ресурсов.</w:t>
      </w:r>
    </w:p>
    <w:p w:rsidR="009568D7" w:rsidRPr="009568D7" w:rsidRDefault="009568D7" w:rsidP="009568D7">
      <w:pPr>
        <w:ind w:left="200"/>
        <w:jc w:val="both"/>
        <w:rPr>
          <w:rStyle w:val="Subst"/>
          <w:bCs/>
          <w:iCs/>
        </w:rPr>
      </w:pPr>
      <w:r w:rsidRPr="009568D7">
        <w:rPr>
          <w:rStyle w:val="Subst"/>
          <w:bCs/>
          <w:iCs/>
        </w:rPr>
        <w:t>Принимая во внимание нестабильность как внешней, так и внутренней ситуации в РФ, возникают риски, связанные с исполнением обязательств на оптовом рынке электроэнергии и мощности на фоне проблем кредитования из-за роста процентных ставок и снижения платежной дисциплины розничных потребителей.</w:t>
      </w:r>
    </w:p>
    <w:p w:rsidR="009568D7" w:rsidRPr="009568D7" w:rsidRDefault="009568D7" w:rsidP="009568D7">
      <w:pPr>
        <w:ind w:left="200"/>
        <w:jc w:val="both"/>
        <w:rPr>
          <w:rStyle w:val="Subst"/>
          <w:bCs/>
          <w:iCs/>
        </w:rPr>
      </w:pPr>
    </w:p>
    <w:p w:rsidR="009568D7" w:rsidRPr="009568D7" w:rsidRDefault="009568D7" w:rsidP="009568D7">
      <w:pPr>
        <w:ind w:left="200"/>
        <w:jc w:val="both"/>
        <w:rPr>
          <w:rStyle w:val="Subst"/>
          <w:bCs/>
          <w:iCs/>
        </w:rPr>
      </w:pPr>
      <w:r w:rsidRPr="009568D7">
        <w:rPr>
          <w:rStyle w:val="Subst"/>
          <w:bCs/>
          <w:iCs/>
        </w:rPr>
        <w:t>Общество предпринимает все зависящие от него усилия для минимизации потенциального влияния рисков и для снижения вероятности их реализации. С целью снижения влияния рисков на деятельность Общества предпринимаются следующие мероприятия:</w:t>
      </w:r>
    </w:p>
    <w:p w:rsidR="009568D7" w:rsidRPr="009568D7" w:rsidRDefault="009568D7" w:rsidP="009568D7">
      <w:pPr>
        <w:ind w:left="200"/>
        <w:jc w:val="both"/>
        <w:rPr>
          <w:rStyle w:val="Subst"/>
          <w:bCs/>
          <w:iCs/>
        </w:rPr>
      </w:pPr>
      <w:r w:rsidRPr="009568D7">
        <w:rPr>
          <w:rStyle w:val="Subst"/>
          <w:bCs/>
          <w:iCs/>
        </w:rPr>
        <w:t>- тщательное планирование своей деятельности на оптовом рынке электроэнергии и мощности;</w:t>
      </w:r>
    </w:p>
    <w:p w:rsidR="009568D7" w:rsidRPr="009568D7" w:rsidRDefault="009568D7" w:rsidP="009568D7">
      <w:pPr>
        <w:ind w:left="200"/>
        <w:jc w:val="both"/>
        <w:rPr>
          <w:rStyle w:val="Subst"/>
          <w:bCs/>
          <w:iCs/>
        </w:rPr>
      </w:pPr>
      <w:r w:rsidRPr="009568D7">
        <w:rPr>
          <w:rStyle w:val="Subst"/>
          <w:bCs/>
          <w:iCs/>
        </w:rPr>
        <w:t>- планомерная работа по отслеживанию платежеспособности клиентов и работа с потребителями – неплательщиками;</w:t>
      </w:r>
    </w:p>
    <w:p w:rsidR="009568D7" w:rsidRPr="009568D7" w:rsidRDefault="009568D7" w:rsidP="009568D7">
      <w:pPr>
        <w:ind w:left="200"/>
        <w:jc w:val="both"/>
        <w:rPr>
          <w:rStyle w:val="Subst"/>
          <w:bCs/>
          <w:iCs/>
        </w:rPr>
      </w:pPr>
      <w:r w:rsidRPr="009568D7">
        <w:rPr>
          <w:rStyle w:val="Subst"/>
          <w:bCs/>
          <w:iCs/>
        </w:rPr>
        <w:t xml:space="preserve">- рекомендации потребителям по снижению издержек за счет правильного планирования своего энергопотребления. </w:t>
      </w:r>
    </w:p>
    <w:p w:rsidR="009568D7" w:rsidRPr="009568D7" w:rsidRDefault="009568D7" w:rsidP="009568D7">
      <w:pPr>
        <w:ind w:left="200"/>
        <w:jc w:val="both"/>
        <w:rPr>
          <w:rStyle w:val="Subst"/>
          <w:bCs/>
          <w:iCs/>
        </w:rPr>
      </w:pPr>
    </w:p>
    <w:p w:rsidR="0076611B" w:rsidRDefault="009568D7" w:rsidP="009568D7">
      <w:pPr>
        <w:ind w:left="200"/>
        <w:jc w:val="both"/>
        <w:rPr>
          <w:rStyle w:val="Subst"/>
          <w:bCs/>
          <w:iCs/>
        </w:rPr>
      </w:pPr>
      <w:r w:rsidRPr="009568D7">
        <w:rPr>
          <w:rStyle w:val="Subst"/>
          <w:bCs/>
          <w:iCs/>
        </w:rPr>
        <w:t>В случае изменений в законодательстве и судебной практике по вопросам, связанным с деятельностью эмитента, эмитент намерен планировать свою финансово-хозяйственную деятельность с учетом этих изменений.</w:t>
      </w:r>
    </w:p>
    <w:p w:rsidR="0076611B" w:rsidRDefault="0076611B" w:rsidP="00E223A1">
      <w:pPr>
        <w:pStyle w:val="1"/>
        <w:jc w:val="both"/>
      </w:pPr>
      <w:bookmarkStart w:id="32" w:name="_Toc196398473"/>
      <w: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2"/>
    </w:p>
    <w:p w:rsidR="0076611B" w:rsidRDefault="0076611B" w:rsidP="00E223A1">
      <w:pPr>
        <w:pStyle w:val="2"/>
        <w:jc w:val="both"/>
      </w:pPr>
      <w:bookmarkStart w:id="33" w:name="_Toc196398474"/>
      <w:r>
        <w:t>2.1. Информация о лицах, входящих в состав органов управления эмитента</w:t>
      </w:r>
      <w:bookmarkEnd w:id="33"/>
    </w:p>
    <w:p w:rsidR="0076611B" w:rsidRDefault="0076611B" w:rsidP="00E223A1">
      <w:pPr>
        <w:ind w:left="200"/>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76611B" w:rsidRDefault="0076611B" w:rsidP="00E223A1">
      <w:pPr>
        <w:pStyle w:val="2"/>
        <w:jc w:val="both"/>
      </w:pPr>
      <w:bookmarkStart w:id="34" w:name="_Toc196398475"/>
      <w:r>
        <w:t>2.1.1. Состав совета директоров (наблюдательного совета) эмитента</w:t>
      </w:r>
      <w:bookmarkEnd w:id="34"/>
    </w:p>
    <w:p w:rsidR="0076611B" w:rsidRDefault="0076611B" w:rsidP="00E223A1">
      <w:pPr>
        <w:ind w:left="200"/>
        <w:jc w:val="both"/>
      </w:pPr>
    </w:p>
    <w:p w:rsidR="0076611B" w:rsidRDefault="0076611B" w:rsidP="00E223A1">
      <w:pPr>
        <w:ind w:left="200"/>
        <w:jc w:val="both"/>
      </w:pPr>
      <w:r>
        <w:t>Фамилия, имя, отчество (последнее при наличии):</w:t>
      </w:r>
      <w:r>
        <w:rPr>
          <w:rStyle w:val="Subst"/>
          <w:bCs/>
          <w:iCs/>
        </w:rPr>
        <w:t xml:space="preserve"> </w:t>
      </w:r>
      <w:proofErr w:type="spellStart"/>
      <w:r>
        <w:rPr>
          <w:rStyle w:val="Subst"/>
          <w:bCs/>
          <w:iCs/>
        </w:rPr>
        <w:t>Шашков</w:t>
      </w:r>
      <w:proofErr w:type="spellEnd"/>
      <w:r>
        <w:rPr>
          <w:rStyle w:val="Subst"/>
          <w:bCs/>
          <w:iCs/>
        </w:rPr>
        <w:t xml:space="preserve"> Алексей Владимирович</w:t>
      </w:r>
    </w:p>
    <w:p w:rsidR="0076611B" w:rsidRDefault="0076611B" w:rsidP="00E223A1">
      <w:pPr>
        <w:ind w:left="200"/>
        <w:jc w:val="both"/>
      </w:pPr>
      <w:r>
        <w:rPr>
          <w:rStyle w:val="Subst"/>
          <w:bCs/>
          <w:iCs/>
        </w:rPr>
        <w:t>(председатель)</w:t>
      </w:r>
    </w:p>
    <w:p w:rsidR="0076611B" w:rsidRDefault="0076611B" w:rsidP="00E223A1">
      <w:pPr>
        <w:ind w:left="200"/>
        <w:jc w:val="both"/>
      </w:pPr>
      <w:r>
        <w:t>Год рождения:</w:t>
      </w:r>
      <w:r>
        <w:rPr>
          <w:rStyle w:val="Subst"/>
          <w:bCs/>
          <w:iCs/>
        </w:rPr>
        <w:t xml:space="preserve"> 1969</w:t>
      </w:r>
    </w:p>
    <w:p w:rsidR="0076611B" w:rsidRDefault="0076611B" w:rsidP="00E223A1">
      <w:pPr>
        <w:ind w:left="200"/>
        <w:jc w:val="both"/>
      </w:pPr>
      <w:proofErr w:type="spellStart"/>
      <w:r>
        <w:t>Cведения</w:t>
      </w:r>
      <w:proofErr w:type="spellEnd"/>
      <w:r>
        <w:t xml:space="preserve"> об уровне образовани</w:t>
      </w:r>
      <w:r w:rsidR="009568D7">
        <w:t xml:space="preserve">я, квалификации, специальности: </w:t>
      </w:r>
      <w:r>
        <w:rPr>
          <w:rStyle w:val="Subst"/>
          <w:bCs/>
          <w:iCs/>
        </w:rPr>
        <w:t>Высшее профессиональное</w:t>
      </w:r>
      <w:r>
        <w:rPr>
          <w:rStyle w:val="Subst"/>
          <w:bCs/>
          <w:iCs/>
        </w:rPr>
        <w:br/>
        <w:t>Самарский государственный университет. Специальность "Правоведение". Квалификация - юрист.</w:t>
      </w:r>
    </w:p>
    <w:p w:rsidR="0076611B" w:rsidRDefault="0076611B" w:rsidP="00E223A1">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9003"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431"/>
      </w:tblGrid>
      <w:tr w:rsidR="0076611B" w:rsidTr="00332E9F">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431"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431"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июнь 2015</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431"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директор по правовым и корпоративным вопросам</w:t>
            </w:r>
          </w:p>
        </w:tc>
      </w:tr>
      <w:tr w:rsidR="0076611B" w:rsidTr="00332E9F">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июнь 2017</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431"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член Совета директоров</w:t>
            </w:r>
          </w:p>
        </w:tc>
      </w:tr>
    </w:tbl>
    <w:p w:rsidR="0076611B" w:rsidRDefault="0076611B" w:rsidP="00E223A1">
      <w:pPr>
        <w:jc w:val="both"/>
      </w:pPr>
    </w:p>
    <w:p w:rsidR="0076611B" w:rsidRDefault="0076611B" w:rsidP="00E223A1">
      <w:pPr>
        <w:ind w:left="200"/>
        <w:jc w:val="both"/>
      </w:pPr>
      <w:r>
        <w:rPr>
          <w:rStyle w:val="Subst"/>
          <w:bCs/>
          <w:iCs/>
        </w:rPr>
        <w:t>Доли участия в уставном капитале эмитента/обыкновенных акций не имеет</w:t>
      </w:r>
    </w:p>
    <w:p w:rsidR="0076611B" w:rsidRDefault="0076611B" w:rsidP="00E223A1">
      <w:pPr>
        <w:pStyle w:val="ThinDelim"/>
        <w:jc w:val="both"/>
      </w:pPr>
    </w:p>
    <w:p w:rsidR="0076611B" w:rsidRDefault="0076611B" w:rsidP="00E223A1">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Default="0076611B" w:rsidP="00E223A1">
      <w:pPr>
        <w:ind w:left="200"/>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6611B" w:rsidRDefault="0076611B" w:rsidP="00E223A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rsidR="0076611B" w:rsidRPr="00332E9F" w:rsidRDefault="0076611B" w:rsidP="00332E9F">
      <w:pPr>
        <w:ind w:left="200"/>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76611B" w:rsidRDefault="0076611B" w:rsidP="00E223A1">
      <w:pPr>
        <w:pStyle w:val="SubHeading"/>
        <w:ind w:left="200"/>
        <w:jc w:val="both"/>
      </w:pPr>
      <w:proofErr w:type="spellStart"/>
      <w:r>
        <w:t>Cведения</w:t>
      </w:r>
      <w:proofErr w:type="spellEnd"/>
      <w:r>
        <w:t xml:space="preserve"> о совершении лицом в отчетном периоде сделки по приобретению или отчуждению акций (долей) эмитента</w:t>
      </w:r>
    </w:p>
    <w:p w:rsidR="0076611B" w:rsidRDefault="0076611B" w:rsidP="00332E9F">
      <w:pPr>
        <w:ind w:left="200"/>
        <w:jc w:val="both"/>
        <w:rPr>
          <w:rStyle w:val="Subst"/>
          <w:bCs/>
          <w:iCs/>
        </w:rPr>
      </w:pPr>
      <w:r>
        <w:rPr>
          <w:rStyle w:val="Subst"/>
          <w:bCs/>
          <w:iCs/>
        </w:rPr>
        <w:t>Указанных сделок в отчетном периоде не совершалось</w:t>
      </w:r>
    </w:p>
    <w:p w:rsidR="00672E3B" w:rsidRDefault="00672E3B" w:rsidP="00E223A1">
      <w:pPr>
        <w:ind w:left="400"/>
        <w:jc w:val="both"/>
      </w:pPr>
    </w:p>
    <w:p w:rsidR="0076611B" w:rsidRDefault="0076611B" w:rsidP="00E223A1">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w:t>
      </w:r>
      <w:r w:rsidR="00672E3B">
        <w:t>твенной деятельностью эмитента:</w:t>
      </w:r>
    </w:p>
    <w:p w:rsidR="00672E3B" w:rsidRDefault="0076611B" w:rsidP="00332E9F">
      <w:pPr>
        <w:ind w:left="200"/>
        <w:jc w:val="both"/>
        <w:rPr>
          <w:rStyle w:val="Subst"/>
          <w:bCs/>
          <w:iCs/>
        </w:rPr>
      </w:pPr>
      <w:r>
        <w:rPr>
          <w:rStyle w:val="Subst"/>
          <w:bCs/>
          <w:iCs/>
        </w:rPr>
        <w:t>Указанных родственных связей нет</w:t>
      </w:r>
    </w:p>
    <w:p w:rsidR="00672E3B" w:rsidRPr="00672E3B" w:rsidRDefault="00672E3B" w:rsidP="00672E3B">
      <w:pPr>
        <w:ind w:left="400"/>
        <w:jc w:val="both"/>
        <w:rPr>
          <w:b/>
          <w:bCs/>
          <w:i/>
          <w:iCs/>
        </w:rPr>
      </w:pPr>
    </w:p>
    <w:p w:rsidR="0076611B" w:rsidRDefault="0076611B" w:rsidP="00E223A1">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w:t>
      </w:r>
      <w:r w:rsidR="00672E3B">
        <w:t xml:space="preserve"> против государственной власти:</w:t>
      </w:r>
    </w:p>
    <w:p w:rsidR="0076611B" w:rsidRDefault="0076611B" w:rsidP="00332E9F">
      <w:pPr>
        <w:ind w:left="200"/>
        <w:jc w:val="both"/>
        <w:rPr>
          <w:rStyle w:val="Subst"/>
          <w:bCs/>
          <w:iCs/>
        </w:rPr>
      </w:pPr>
      <w:r>
        <w:rPr>
          <w:rStyle w:val="Subst"/>
          <w:bCs/>
          <w:iCs/>
        </w:rPr>
        <w:t>Лицо к указанным видам ответственности не привлекалось</w:t>
      </w:r>
    </w:p>
    <w:p w:rsidR="00672E3B" w:rsidRDefault="00672E3B" w:rsidP="00E223A1">
      <w:pPr>
        <w:ind w:left="400"/>
        <w:jc w:val="both"/>
      </w:pPr>
    </w:p>
    <w:p w:rsidR="0076611B" w:rsidRDefault="0076611B" w:rsidP="00E223A1">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w:t>
      </w:r>
      <w:r w:rsidR="00672E3B">
        <w:t>состоятельности (банкротстве)":</w:t>
      </w:r>
    </w:p>
    <w:p w:rsidR="0076611B" w:rsidRPr="00332E9F" w:rsidRDefault="0076611B" w:rsidP="00332E9F">
      <w:pPr>
        <w:ind w:left="200"/>
        <w:jc w:val="both"/>
        <w:rPr>
          <w:rStyle w:val="Subst"/>
          <w:bCs/>
          <w:iCs/>
        </w:rPr>
      </w:pPr>
      <w:r>
        <w:rPr>
          <w:rStyle w:val="Subst"/>
          <w:bCs/>
          <w:iCs/>
        </w:rPr>
        <w:t>Лицо указанных должностей не занимало</w:t>
      </w:r>
    </w:p>
    <w:p w:rsidR="0076611B" w:rsidRDefault="0076611B" w:rsidP="00E223A1">
      <w:pPr>
        <w:pStyle w:val="SubHeading"/>
        <w:ind w:left="200"/>
        <w:jc w:val="both"/>
      </w:pPr>
      <w:proofErr w:type="spellStart"/>
      <w:r>
        <w:t>Cведения</w:t>
      </w:r>
      <w:proofErr w:type="spellEnd"/>
      <w:r>
        <w:t xml:space="preserve"> об участии в работе комитетов совета директоров (наблюдательного совета)</w:t>
      </w:r>
    </w:p>
    <w:p w:rsidR="0076611B" w:rsidRPr="00332E9F" w:rsidRDefault="0076611B" w:rsidP="00332E9F">
      <w:pPr>
        <w:ind w:left="200"/>
        <w:jc w:val="both"/>
        <w:rPr>
          <w:rStyle w:val="Subst"/>
          <w:bCs/>
          <w:iCs/>
        </w:rPr>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76611B" w:rsidRDefault="0076611B" w:rsidP="00E223A1">
      <w:pPr>
        <w:ind w:left="200"/>
        <w:jc w:val="both"/>
      </w:pPr>
    </w:p>
    <w:p w:rsidR="0076611B" w:rsidRDefault="0076611B" w:rsidP="00E223A1">
      <w:pPr>
        <w:ind w:left="200"/>
        <w:jc w:val="both"/>
      </w:pPr>
      <w:r>
        <w:t>Фамилия, имя, отчество (последнее при наличии):</w:t>
      </w:r>
      <w:r>
        <w:rPr>
          <w:rStyle w:val="Subst"/>
          <w:bCs/>
          <w:iCs/>
        </w:rPr>
        <w:t xml:space="preserve"> Ситникова Светлана Борисовна</w:t>
      </w:r>
    </w:p>
    <w:p w:rsidR="0076611B" w:rsidRDefault="0076611B" w:rsidP="00E223A1">
      <w:pPr>
        <w:ind w:left="200"/>
        <w:jc w:val="both"/>
      </w:pPr>
      <w:r>
        <w:t>Год рождения:</w:t>
      </w:r>
      <w:r>
        <w:rPr>
          <w:rStyle w:val="Subst"/>
          <w:bCs/>
          <w:iCs/>
        </w:rPr>
        <w:t xml:space="preserve"> 1961</w:t>
      </w:r>
    </w:p>
    <w:p w:rsidR="0076611B" w:rsidRDefault="0076611B" w:rsidP="00E223A1">
      <w:pPr>
        <w:ind w:left="200"/>
        <w:jc w:val="both"/>
      </w:pPr>
      <w:proofErr w:type="spellStart"/>
      <w:r>
        <w:t>Cведения</w:t>
      </w:r>
      <w:proofErr w:type="spellEnd"/>
      <w:r>
        <w:t xml:space="preserve"> об уровне образования, квалификации, специальности:</w:t>
      </w:r>
      <w:r w:rsidR="00DB3366">
        <w:t xml:space="preserve"> </w:t>
      </w:r>
      <w:r>
        <w:rPr>
          <w:rStyle w:val="Subst"/>
          <w:bCs/>
          <w:iCs/>
        </w:rPr>
        <w:t>Высшее профессиональное</w:t>
      </w:r>
      <w:r>
        <w:rPr>
          <w:rStyle w:val="Subst"/>
          <w:bCs/>
          <w:iCs/>
        </w:rPr>
        <w:br/>
        <w:t>Московский ордена Дружбы народов Кооперативный институт. Специальность "Товароведение и организация торговли непродовольственными товарами". Квалификация - товаровед высшей квалификации.</w:t>
      </w:r>
    </w:p>
    <w:p w:rsidR="0076611B" w:rsidRDefault="0076611B" w:rsidP="00E223A1">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8647"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075"/>
      </w:tblGrid>
      <w:tr w:rsidR="0076611B" w:rsidTr="00332E9F">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075"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075"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332E9F">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июнь 2018</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075"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член Совета директоров</w:t>
            </w:r>
          </w:p>
        </w:tc>
      </w:tr>
    </w:tbl>
    <w:p w:rsidR="0076611B" w:rsidRDefault="0076611B" w:rsidP="00E223A1">
      <w:pPr>
        <w:jc w:val="both"/>
      </w:pPr>
    </w:p>
    <w:p w:rsidR="0076611B" w:rsidRDefault="0076611B" w:rsidP="00E223A1">
      <w:pPr>
        <w:ind w:left="200"/>
        <w:jc w:val="both"/>
      </w:pPr>
      <w:r>
        <w:rPr>
          <w:rStyle w:val="Subst"/>
          <w:bCs/>
          <w:iCs/>
        </w:rPr>
        <w:t>Доли участия в уставном капитале эмитента/обыкновенных акций не имеет</w:t>
      </w:r>
    </w:p>
    <w:p w:rsidR="0076611B" w:rsidRDefault="0076611B" w:rsidP="00E223A1">
      <w:pPr>
        <w:pStyle w:val="ThinDelim"/>
        <w:jc w:val="both"/>
      </w:pPr>
    </w:p>
    <w:p w:rsidR="0076611B" w:rsidRDefault="0076611B" w:rsidP="00E223A1">
      <w:pPr>
        <w:ind w:left="200"/>
        <w:jc w:val="both"/>
      </w:pPr>
      <w:r>
        <w:lastRenderedPageBreak/>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Default="0076611B" w:rsidP="00E223A1">
      <w:pPr>
        <w:ind w:left="200"/>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6611B" w:rsidRDefault="0076611B" w:rsidP="00E223A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rsidR="0076611B" w:rsidRPr="00332E9F" w:rsidRDefault="0076611B" w:rsidP="00332E9F">
      <w:pPr>
        <w:ind w:left="200"/>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76611B" w:rsidRDefault="0076611B" w:rsidP="00E223A1">
      <w:pPr>
        <w:pStyle w:val="SubHeading"/>
        <w:ind w:left="200"/>
        <w:jc w:val="both"/>
      </w:pPr>
      <w:proofErr w:type="spellStart"/>
      <w:r>
        <w:t>Cведения</w:t>
      </w:r>
      <w:proofErr w:type="spellEnd"/>
      <w:r>
        <w:t xml:space="preserve"> о совершении лицом в отчетном периоде сделки по приобретению или отчуждению акций (долей) эмитента</w:t>
      </w:r>
    </w:p>
    <w:p w:rsidR="0076611B" w:rsidRDefault="0076611B" w:rsidP="00332E9F">
      <w:pPr>
        <w:ind w:left="200"/>
        <w:jc w:val="both"/>
        <w:rPr>
          <w:rStyle w:val="Subst"/>
          <w:bCs/>
          <w:iCs/>
        </w:rPr>
      </w:pPr>
      <w:r>
        <w:rPr>
          <w:rStyle w:val="Subst"/>
          <w:bCs/>
          <w:iCs/>
        </w:rPr>
        <w:t>Указанных сделок в отчетном периоде не совершалось</w:t>
      </w:r>
    </w:p>
    <w:p w:rsidR="002A555A" w:rsidRDefault="002A555A" w:rsidP="00E223A1">
      <w:pPr>
        <w:ind w:left="400"/>
        <w:jc w:val="both"/>
      </w:pPr>
    </w:p>
    <w:p w:rsidR="0076611B" w:rsidRDefault="0076611B" w:rsidP="00E223A1">
      <w:pPr>
        <w:ind w:left="200"/>
        <w:jc w:val="both"/>
        <w:rPr>
          <w:rStyle w:val="Subst"/>
          <w:bCs/>
          <w:iCs/>
        </w:rPr>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Является матерью члена Совета директоров Егоровой В.С.</w:t>
      </w:r>
    </w:p>
    <w:p w:rsidR="002A555A" w:rsidRDefault="002A555A" w:rsidP="00E223A1">
      <w:pPr>
        <w:ind w:left="200"/>
        <w:jc w:val="both"/>
      </w:pPr>
    </w:p>
    <w:p w:rsidR="0076611B" w:rsidRDefault="0076611B" w:rsidP="00E223A1">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w:t>
      </w:r>
      <w:r w:rsidR="002A555A">
        <w:t xml:space="preserve"> против государственной власти:</w:t>
      </w:r>
    </w:p>
    <w:p w:rsidR="0076611B" w:rsidRDefault="0076611B" w:rsidP="00332E9F">
      <w:pPr>
        <w:ind w:left="200"/>
        <w:jc w:val="both"/>
        <w:rPr>
          <w:rStyle w:val="Subst"/>
          <w:bCs/>
          <w:iCs/>
        </w:rPr>
      </w:pPr>
      <w:r>
        <w:rPr>
          <w:rStyle w:val="Subst"/>
          <w:bCs/>
          <w:iCs/>
        </w:rPr>
        <w:t>Лицо к указанным видам ответственности не привлекалось</w:t>
      </w:r>
    </w:p>
    <w:p w:rsidR="002A555A" w:rsidRDefault="002A555A" w:rsidP="00E223A1">
      <w:pPr>
        <w:ind w:left="400"/>
        <w:jc w:val="both"/>
      </w:pPr>
    </w:p>
    <w:p w:rsidR="0076611B" w:rsidRDefault="0076611B" w:rsidP="00E223A1">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w:t>
      </w:r>
      <w:r w:rsidR="002A555A">
        <w:t>состоятельности (банкротстве)":</w:t>
      </w:r>
    </w:p>
    <w:p w:rsidR="0076611B" w:rsidRPr="00332E9F" w:rsidRDefault="0076611B" w:rsidP="00332E9F">
      <w:pPr>
        <w:ind w:left="200"/>
        <w:jc w:val="both"/>
        <w:rPr>
          <w:rStyle w:val="Subst"/>
          <w:bCs/>
          <w:iCs/>
        </w:rPr>
      </w:pPr>
      <w:r>
        <w:rPr>
          <w:rStyle w:val="Subst"/>
          <w:bCs/>
          <w:iCs/>
        </w:rPr>
        <w:t>Лицо указанных должностей не занимало</w:t>
      </w:r>
    </w:p>
    <w:p w:rsidR="0076611B" w:rsidRDefault="0076611B" w:rsidP="00E223A1">
      <w:pPr>
        <w:pStyle w:val="SubHeading"/>
        <w:ind w:left="200"/>
        <w:jc w:val="both"/>
      </w:pPr>
      <w:proofErr w:type="spellStart"/>
      <w:r>
        <w:t>Cведения</w:t>
      </w:r>
      <w:proofErr w:type="spellEnd"/>
      <w:r>
        <w:t xml:space="preserve"> об участии в работе комитетов совета директоров (наблюдательного совета)</w:t>
      </w:r>
    </w:p>
    <w:p w:rsidR="0076611B" w:rsidRDefault="0076611B" w:rsidP="00E223A1">
      <w:pPr>
        <w:pStyle w:val="ThinDelim"/>
        <w:jc w:val="both"/>
      </w:pPr>
    </w:p>
    <w:tbl>
      <w:tblPr>
        <w:tblW w:w="8647" w:type="dxa"/>
        <w:tblInd w:w="356" w:type="dxa"/>
        <w:tblLayout w:type="fixed"/>
        <w:tblCellMar>
          <w:left w:w="72" w:type="dxa"/>
          <w:right w:w="72" w:type="dxa"/>
        </w:tblCellMar>
        <w:tblLook w:val="0000" w:firstRow="0" w:lastRow="0" w:firstColumn="0" w:lastColumn="0" w:noHBand="0" w:noVBand="0"/>
      </w:tblPr>
      <w:tblGrid>
        <w:gridCol w:w="7229"/>
        <w:gridCol w:w="1418"/>
      </w:tblGrid>
      <w:tr w:rsidR="0076611B" w:rsidTr="00332E9F">
        <w:tc>
          <w:tcPr>
            <w:tcW w:w="7229"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Название комитета</w:t>
            </w:r>
          </w:p>
        </w:tc>
        <w:tc>
          <w:tcPr>
            <w:tcW w:w="1418"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Председатель</w:t>
            </w:r>
          </w:p>
        </w:tc>
      </w:tr>
      <w:tr w:rsidR="0076611B" w:rsidTr="00332E9F">
        <w:tc>
          <w:tcPr>
            <w:tcW w:w="7229"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Комитет по аудиту</w:t>
            </w:r>
          </w:p>
        </w:tc>
        <w:tc>
          <w:tcPr>
            <w:tcW w:w="1418"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Нет</w:t>
            </w:r>
          </w:p>
        </w:tc>
      </w:tr>
    </w:tbl>
    <w:p w:rsidR="0076611B" w:rsidRDefault="0076611B" w:rsidP="00332E9F">
      <w:pPr>
        <w:jc w:val="both"/>
      </w:pPr>
    </w:p>
    <w:p w:rsidR="0076611B" w:rsidRDefault="0076611B" w:rsidP="00E223A1">
      <w:pPr>
        <w:ind w:left="200"/>
        <w:jc w:val="both"/>
      </w:pPr>
      <w:r>
        <w:t>Фамилия, имя, отчество (последнее при наличии):</w:t>
      </w:r>
      <w:r>
        <w:rPr>
          <w:rStyle w:val="Subst"/>
          <w:bCs/>
          <w:iCs/>
        </w:rPr>
        <w:t xml:space="preserve"> Егорова Валерия Сергеевна</w:t>
      </w:r>
    </w:p>
    <w:p w:rsidR="0076611B" w:rsidRDefault="0076611B" w:rsidP="00E223A1">
      <w:pPr>
        <w:ind w:left="200"/>
        <w:jc w:val="both"/>
      </w:pPr>
      <w:r>
        <w:t>Год рождения:</w:t>
      </w:r>
      <w:r>
        <w:rPr>
          <w:rStyle w:val="Subst"/>
          <w:bCs/>
          <w:iCs/>
        </w:rPr>
        <w:t xml:space="preserve"> 1987</w:t>
      </w:r>
    </w:p>
    <w:p w:rsidR="0076611B" w:rsidRDefault="0076611B" w:rsidP="00E223A1">
      <w:pPr>
        <w:ind w:left="200"/>
        <w:jc w:val="both"/>
      </w:pPr>
      <w:proofErr w:type="spellStart"/>
      <w:r>
        <w:t>Cведения</w:t>
      </w:r>
      <w:proofErr w:type="spellEnd"/>
      <w:r>
        <w:t xml:space="preserve"> об уровне образования, квалификации, специальности:</w:t>
      </w:r>
      <w:r w:rsidR="00DB3366">
        <w:t xml:space="preserve"> </w:t>
      </w:r>
      <w:r>
        <w:rPr>
          <w:rStyle w:val="Subst"/>
          <w:bCs/>
          <w:iCs/>
        </w:rPr>
        <w:t>Высшее профессиональное</w:t>
      </w:r>
      <w:r>
        <w:rPr>
          <w:rStyle w:val="Subst"/>
          <w:bCs/>
          <w:iCs/>
        </w:rPr>
        <w:br/>
        <w:t>Государственное образовательное учреждение высшего профессионального образования "Нижегородский государственный лингвистический университет имени Н.А. Добролюбова". Специальность "Связи с общественностью". Квалификация - специалист по связям с общественностью.</w:t>
      </w:r>
    </w:p>
    <w:p w:rsidR="0076611B" w:rsidRDefault="0076611B" w:rsidP="00E223A1">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8788"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216"/>
      </w:tblGrid>
      <w:tr w:rsidR="0076611B" w:rsidTr="00332E9F">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216"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июнь 2018</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член Совета директоров</w:t>
            </w:r>
          </w:p>
        </w:tc>
      </w:tr>
      <w:tr w:rsidR="0076611B" w:rsidTr="00332E9F">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ноябрь 2019</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март 2022</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ООО "Луидор", г. Нижний Новгород</w:t>
            </w:r>
          </w:p>
        </w:tc>
        <w:tc>
          <w:tcPr>
            <w:tcW w:w="2216"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менеджер департамента корпоративных продаж</w:t>
            </w:r>
          </w:p>
        </w:tc>
      </w:tr>
    </w:tbl>
    <w:p w:rsidR="0076611B" w:rsidRDefault="0076611B" w:rsidP="00E223A1">
      <w:pPr>
        <w:pStyle w:val="ThinDelim"/>
        <w:jc w:val="both"/>
      </w:pPr>
    </w:p>
    <w:p w:rsidR="0076611B" w:rsidRDefault="0076611B" w:rsidP="00E223A1">
      <w:pPr>
        <w:ind w:left="200"/>
        <w:jc w:val="both"/>
      </w:pPr>
      <w:r>
        <w:rPr>
          <w:rStyle w:val="Subst"/>
          <w:bCs/>
          <w:iCs/>
        </w:rPr>
        <w:t>Доли участия в уставном капитале эмитента/обыкновенных акций не имеет</w:t>
      </w:r>
    </w:p>
    <w:p w:rsidR="0076611B" w:rsidRDefault="0076611B" w:rsidP="00E223A1">
      <w:pPr>
        <w:pStyle w:val="ThinDelim"/>
        <w:jc w:val="both"/>
      </w:pPr>
    </w:p>
    <w:p w:rsidR="0076611B" w:rsidRDefault="0076611B" w:rsidP="00E223A1">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Default="0076611B" w:rsidP="00E223A1">
      <w:pPr>
        <w:ind w:left="200"/>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6611B" w:rsidRDefault="0076611B" w:rsidP="00E223A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rsidR="0076611B" w:rsidRPr="00332E9F" w:rsidRDefault="0076611B" w:rsidP="00332E9F">
      <w:pPr>
        <w:ind w:left="200"/>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76611B" w:rsidRDefault="0076611B" w:rsidP="00E223A1">
      <w:pPr>
        <w:pStyle w:val="SubHeading"/>
        <w:ind w:left="200"/>
        <w:jc w:val="both"/>
      </w:pPr>
      <w:proofErr w:type="spellStart"/>
      <w:r>
        <w:t>Cведения</w:t>
      </w:r>
      <w:proofErr w:type="spellEnd"/>
      <w:r>
        <w:t xml:space="preserve"> о совершении лицом в отчетном периоде сделки по приобретению или отчуждению акций (долей) эмитента</w:t>
      </w:r>
    </w:p>
    <w:p w:rsidR="0076611B" w:rsidRDefault="0076611B" w:rsidP="00332E9F">
      <w:pPr>
        <w:ind w:left="200"/>
        <w:jc w:val="both"/>
        <w:rPr>
          <w:rStyle w:val="Subst"/>
          <w:bCs/>
          <w:iCs/>
        </w:rPr>
      </w:pPr>
      <w:r>
        <w:rPr>
          <w:rStyle w:val="Subst"/>
          <w:bCs/>
          <w:iCs/>
        </w:rPr>
        <w:t>Указанных сделок в отчетном периоде не совершалось</w:t>
      </w:r>
    </w:p>
    <w:p w:rsidR="002A555A" w:rsidRDefault="002A555A" w:rsidP="00E223A1">
      <w:pPr>
        <w:ind w:left="400"/>
        <w:jc w:val="both"/>
      </w:pPr>
    </w:p>
    <w:p w:rsidR="0076611B" w:rsidRDefault="0076611B" w:rsidP="00E223A1">
      <w:pPr>
        <w:ind w:left="200"/>
        <w:jc w:val="both"/>
        <w:rPr>
          <w:rStyle w:val="Subst"/>
          <w:bCs/>
          <w:iCs/>
        </w:rPr>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Является дочерью члена Совета директоров Ситниковой С.Б.</w:t>
      </w:r>
    </w:p>
    <w:p w:rsidR="002A555A" w:rsidRDefault="002A555A" w:rsidP="00E223A1">
      <w:pPr>
        <w:ind w:left="200"/>
        <w:jc w:val="both"/>
      </w:pPr>
    </w:p>
    <w:p w:rsidR="0076611B" w:rsidRDefault="0076611B" w:rsidP="00E223A1">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w:t>
      </w:r>
      <w:r w:rsidR="002A555A">
        <w:t xml:space="preserve"> против государственной власти:</w:t>
      </w:r>
    </w:p>
    <w:p w:rsidR="0076611B" w:rsidRDefault="0076611B" w:rsidP="00332E9F">
      <w:pPr>
        <w:ind w:left="200"/>
        <w:jc w:val="both"/>
        <w:rPr>
          <w:rStyle w:val="Subst"/>
          <w:bCs/>
          <w:iCs/>
        </w:rPr>
      </w:pPr>
      <w:r>
        <w:rPr>
          <w:rStyle w:val="Subst"/>
          <w:bCs/>
          <w:iCs/>
        </w:rPr>
        <w:t>Лицо к указанным видам ответственности не привлекалось</w:t>
      </w:r>
    </w:p>
    <w:p w:rsidR="002A555A" w:rsidRDefault="002A555A" w:rsidP="00E223A1">
      <w:pPr>
        <w:ind w:left="400"/>
        <w:jc w:val="both"/>
      </w:pPr>
    </w:p>
    <w:p w:rsidR="0076611B" w:rsidRDefault="0076611B" w:rsidP="00E223A1">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w:t>
      </w:r>
      <w:r w:rsidR="002A555A">
        <w:t>и (банкротстве)":</w:t>
      </w:r>
    </w:p>
    <w:p w:rsidR="0076611B" w:rsidRPr="00332E9F" w:rsidRDefault="0076611B" w:rsidP="00332E9F">
      <w:pPr>
        <w:ind w:left="200"/>
        <w:jc w:val="both"/>
        <w:rPr>
          <w:rStyle w:val="Subst"/>
          <w:bCs/>
          <w:iCs/>
        </w:rPr>
      </w:pPr>
      <w:r>
        <w:rPr>
          <w:rStyle w:val="Subst"/>
          <w:bCs/>
          <w:iCs/>
        </w:rPr>
        <w:t>Лицо указанных должностей не занимало</w:t>
      </w:r>
    </w:p>
    <w:p w:rsidR="0076611B" w:rsidRDefault="0076611B" w:rsidP="00E223A1">
      <w:pPr>
        <w:pStyle w:val="SubHeading"/>
        <w:ind w:left="200"/>
        <w:jc w:val="both"/>
      </w:pPr>
      <w:proofErr w:type="spellStart"/>
      <w:r>
        <w:t>Cведения</w:t>
      </w:r>
      <w:proofErr w:type="spellEnd"/>
      <w:r>
        <w:t xml:space="preserve"> об участии в работе комитетов совета директоров (наблюдательного совета)</w:t>
      </w:r>
    </w:p>
    <w:p w:rsidR="0076611B" w:rsidRDefault="0076611B" w:rsidP="00E223A1">
      <w:pPr>
        <w:pStyle w:val="ThinDelim"/>
        <w:jc w:val="both"/>
      </w:pPr>
    </w:p>
    <w:tbl>
      <w:tblPr>
        <w:tblW w:w="8505" w:type="dxa"/>
        <w:tblInd w:w="356" w:type="dxa"/>
        <w:tblLayout w:type="fixed"/>
        <w:tblCellMar>
          <w:left w:w="72" w:type="dxa"/>
          <w:right w:w="72" w:type="dxa"/>
        </w:tblCellMar>
        <w:tblLook w:val="0000" w:firstRow="0" w:lastRow="0" w:firstColumn="0" w:lastColumn="0" w:noHBand="0" w:noVBand="0"/>
      </w:tblPr>
      <w:tblGrid>
        <w:gridCol w:w="7087"/>
        <w:gridCol w:w="1418"/>
      </w:tblGrid>
      <w:tr w:rsidR="0076611B" w:rsidTr="00332E9F">
        <w:tc>
          <w:tcPr>
            <w:tcW w:w="7087"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Название комитета</w:t>
            </w:r>
          </w:p>
        </w:tc>
        <w:tc>
          <w:tcPr>
            <w:tcW w:w="1418"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Председатель</w:t>
            </w:r>
          </w:p>
        </w:tc>
      </w:tr>
      <w:tr w:rsidR="0076611B" w:rsidTr="00332E9F">
        <w:tc>
          <w:tcPr>
            <w:tcW w:w="7087"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Комитет по аудиту</w:t>
            </w:r>
          </w:p>
        </w:tc>
        <w:tc>
          <w:tcPr>
            <w:tcW w:w="1418"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Нет</w:t>
            </w:r>
          </w:p>
        </w:tc>
      </w:tr>
    </w:tbl>
    <w:p w:rsidR="0076611B" w:rsidRDefault="0076611B" w:rsidP="00E223A1">
      <w:pPr>
        <w:jc w:val="both"/>
      </w:pPr>
    </w:p>
    <w:p w:rsidR="0076611B" w:rsidRDefault="0076611B" w:rsidP="00E223A1">
      <w:pPr>
        <w:ind w:left="200"/>
        <w:jc w:val="both"/>
      </w:pPr>
    </w:p>
    <w:p w:rsidR="0076611B" w:rsidRDefault="0076611B" w:rsidP="00E223A1">
      <w:pPr>
        <w:ind w:left="200"/>
        <w:jc w:val="both"/>
      </w:pPr>
      <w:r>
        <w:t>Фамилия, имя, отчество (последнее при наличии):</w:t>
      </w:r>
      <w:r>
        <w:rPr>
          <w:rStyle w:val="Subst"/>
          <w:bCs/>
          <w:iCs/>
        </w:rPr>
        <w:t xml:space="preserve"> Мордвинова Юлия Михайловна</w:t>
      </w:r>
    </w:p>
    <w:p w:rsidR="0076611B" w:rsidRDefault="0076611B" w:rsidP="00E223A1">
      <w:pPr>
        <w:ind w:left="200"/>
        <w:jc w:val="both"/>
      </w:pPr>
      <w:r>
        <w:t>Год рождения:</w:t>
      </w:r>
      <w:r>
        <w:rPr>
          <w:rStyle w:val="Subst"/>
          <w:bCs/>
          <w:iCs/>
        </w:rPr>
        <w:t xml:space="preserve"> 1987</w:t>
      </w:r>
    </w:p>
    <w:p w:rsidR="0076611B" w:rsidRDefault="0076611B" w:rsidP="00E223A1">
      <w:pPr>
        <w:ind w:left="200"/>
        <w:jc w:val="both"/>
      </w:pPr>
      <w:proofErr w:type="spellStart"/>
      <w:r>
        <w:t>Cведения</w:t>
      </w:r>
      <w:proofErr w:type="spellEnd"/>
      <w:r>
        <w:t xml:space="preserve"> об уровне образования, квалификации, специальности:</w:t>
      </w:r>
      <w:r w:rsidR="00DB3366">
        <w:t xml:space="preserve"> </w:t>
      </w:r>
      <w:r>
        <w:rPr>
          <w:rStyle w:val="Subst"/>
          <w:bCs/>
          <w:iCs/>
        </w:rPr>
        <w:t>Высшее профессиональное</w:t>
      </w:r>
      <w:r>
        <w:rPr>
          <w:rStyle w:val="Subst"/>
          <w:bCs/>
          <w:iCs/>
        </w:rPr>
        <w:br/>
        <w:t>Государственное образовательное учреждение высшего профессионального образования города Москвы "Московский городской педагогический университет". Специальность "Менеджмент организации". Квалификация - менеджер.</w:t>
      </w:r>
    </w:p>
    <w:p w:rsidR="0076611B" w:rsidRDefault="0076611B" w:rsidP="00E223A1">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8788"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216"/>
      </w:tblGrid>
      <w:tr w:rsidR="0076611B" w:rsidTr="00332E9F">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216"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июнь 2019</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член Совета директоров</w:t>
            </w: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март 2021</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май 2023</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ООО "Приволжская сетевая компания", г. Дзержинск</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заместитель директора по экономике и финансам</w:t>
            </w:r>
          </w:p>
        </w:tc>
      </w:tr>
      <w:tr w:rsidR="0076611B" w:rsidTr="00332E9F">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lastRenderedPageBreak/>
              <w:t>май 2023</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апрель 2024</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ООО "Приволжская сетевая компания", г. Дзержинск</w:t>
            </w:r>
          </w:p>
        </w:tc>
        <w:tc>
          <w:tcPr>
            <w:tcW w:w="2216"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заместитель директора по развитию</w:t>
            </w:r>
          </w:p>
        </w:tc>
      </w:tr>
    </w:tbl>
    <w:p w:rsidR="0076611B" w:rsidRDefault="0076611B" w:rsidP="00E223A1">
      <w:pPr>
        <w:jc w:val="both"/>
      </w:pPr>
    </w:p>
    <w:p w:rsidR="0076611B" w:rsidRDefault="0076611B" w:rsidP="00E223A1">
      <w:pPr>
        <w:ind w:left="200"/>
        <w:jc w:val="both"/>
      </w:pPr>
      <w:r>
        <w:rPr>
          <w:rStyle w:val="Subst"/>
          <w:bCs/>
          <w:iCs/>
        </w:rPr>
        <w:t>Доли участия в уставном капитале эмитента/обыкновенных акций не имеет</w:t>
      </w:r>
    </w:p>
    <w:p w:rsidR="0076611B" w:rsidRDefault="0076611B" w:rsidP="00E223A1">
      <w:pPr>
        <w:pStyle w:val="ThinDelim"/>
        <w:jc w:val="both"/>
      </w:pPr>
    </w:p>
    <w:p w:rsidR="0076611B" w:rsidRDefault="0076611B" w:rsidP="00E223A1">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Default="0076611B" w:rsidP="00E223A1">
      <w:pPr>
        <w:ind w:left="200"/>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6611B" w:rsidRDefault="0076611B" w:rsidP="00E223A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rsidR="0076611B" w:rsidRPr="00332E9F" w:rsidRDefault="0076611B" w:rsidP="00332E9F">
      <w:pPr>
        <w:ind w:left="200"/>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76611B" w:rsidRDefault="0076611B" w:rsidP="00E223A1">
      <w:pPr>
        <w:pStyle w:val="SubHeading"/>
        <w:ind w:left="200"/>
        <w:jc w:val="both"/>
      </w:pPr>
      <w:proofErr w:type="spellStart"/>
      <w:r>
        <w:t>Cведения</w:t>
      </w:r>
      <w:proofErr w:type="spellEnd"/>
      <w:r>
        <w:t xml:space="preserve"> о совершении лицом в отчетном периоде сделки по приобретению или отчуждению акций (долей) эмитента</w:t>
      </w:r>
    </w:p>
    <w:p w:rsidR="0076611B" w:rsidRDefault="0076611B" w:rsidP="00332E9F">
      <w:pPr>
        <w:ind w:left="200"/>
        <w:jc w:val="both"/>
        <w:rPr>
          <w:rStyle w:val="Subst"/>
          <w:bCs/>
          <w:iCs/>
        </w:rPr>
      </w:pPr>
      <w:r>
        <w:rPr>
          <w:rStyle w:val="Subst"/>
          <w:bCs/>
          <w:iCs/>
        </w:rPr>
        <w:t>Указанных сделок в отчетном периоде не совершалось</w:t>
      </w:r>
    </w:p>
    <w:p w:rsidR="002A555A" w:rsidRDefault="002A555A" w:rsidP="00E223A1">
      <w:pPr>
        <w:ind w:left="400"/>
        <w:jc w:val="both"/>
      </w:pPr>
    </w:p>
    <w:p w:rsidR="0076611B" w:rsidRDefault="0076611B" w:rsidP="00E223A1">
      <w:pPr>
        <w:ind w:left="200"/>
        <w:jc w:val="both"/>
        <w:rPr>
          <w:rStyle w:val="Subst"/>
          <w:bCs/>
          <w:iCs/>
        </w:rPr>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Является супругой члена Совета директоров Мордвинова С.М.</w:t>
      </w:r>
    </w:p>
    <w:p w:rsidR="002A555A" w:rsidRDefault="002A555A" w:rsidP="00E223A1">
      <w:pPr>
        <w:ind w:left="200"/>
        <w:jc w:val="both"/>
      </w:pPr>
    </w:p>
    <w:p w:rsidR="0076611B" w:rsidRDefault="0076611B" w:rsidP="00E223A1">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w:t>
      </w:r>
      <w:r w:rsidR="002A555A">
        <w:t xml:space="preserve"> против государственной власти:</w:t>
      </w:r>
    </w:p>
    <w:p w:rsidR="0076611B" w:rsidRDefault="0076611B" w:rsidP="00332E9F">
      <w:pPr>
        <w:ind w:left="200"/>
        <w:jc w:val="both"/>
        <w:rPr>
          <w:rStyle w:val="Subst"/>
          <w:bCs/>
          <w:iCs/>
        </w:rPr>
      </w:pPr>
      <w:r>
        <w:rPr>
          <w:rStyle w:val="Subst"/>
          <w:bCs/>
          <w:iCs/>
        </w:rPr>
        <w:t>Лицо к указанным видам ответственности не привлекалось</w:t>
      </w:r>
    </w:p>
    <w:p w:rsidR="002A555A" w:rsidRDefault="002A555A" w:rsidP="00E223A1">
      <w:pPr>
        <w:ind w:left="400"/>
        <w:jc w:val="both"/>
      </w:pPr>
    </w:p>
    <w:p w:rsidR="0076611B" w:rsidRDefault="0076611B" w:rsidP="00E223A1">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w:t>
      </w:r>
      <w:r w:rsidR="002A555A">
        <w:t>состоятельности (банкротстве)":</w:t>
      </w:r>
    </w:p>
    <w:p w:rsidR="0076611B" w:rsidRPr="00332E9F" w:rsidRDefault="0076611B" w:rsidP="00332E9F">
      <w:pPr>
        <w:ind w:left="200"/>
        <w:jc w:val="both"/>
        <w:rPr>
          <w:rStyle w:val="Subst"/>
          <w:bCs/>
          <w:iCs/>
        </w:rPr>
      </w:pPr>
      <w:r>
        <w:rPr>
          <w:rStyle w:val="Subst"/>
          <w:bCs/>
          <w:iCs/>
        </w:rPr>
        <w:t>Лицо указанных должностей не занимало</w:t>
      </w:r>
    </w:p>
    <w:p w:rsidR="0076611B" w:rsidRDefault="0076611B" w:rsidP="00E223A1">
      <w:pPr>
        <w:pStyle w:val="ThinDelim"/>
        <w:jc w:val="both"/>
      </w:pPr>
    </w:p>
    <w:p w:rsidR="0076611B" w:rsidRDefault="0076611B" w:rsidP="00E223A1">
      <w:pPr>
        <w:pStyle w:val="SubHeading"/>
        <w:ind w:left="200"/>
        <w:jc w:val="both"/>
      </w:pPr>
      <w:proofErr w:type="spellStart"/>
      <w:r>
        <w:t>Cведения</w:t>
      </w:r>
      <w:proofErr w:type="spellEnd"/>
      <w:r>
        <w:t xml:space="preserve"> об участии в работе комитетов совета директоров (наблюдательного совета)</w:t>
      </w:r>
    </w:p>
    <w:p w:rsidR="0076611B" w:rsidRPr="00332E9F" w:rsidRDefault="0076611B" w:rsidP="00332E9F">
      <w:pPr>
        <w:ind w:left="200"/>
        <w:jc w:val="both"/>
        <w:rPr>
          <w:rStyle w:val="Subst"/>
          <w:bCs/>
          <w:iCs/>
        </w:rPr>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76611B" w:rsidRDefault="0076611B" w:rsidP="00E223A1">
      <w:pPr>
        <w:ind w:left="200"/>
        <w:jc w:val="both"/>
      </w:pPr>
    </w:p>
    <w:p w:rsidR="0076611B" w:rsidRDefault="0076611B" w:rsidP="00E223A1">
      <w:pPr>
        <w:ind w:left="200"/>
        <w:jc w:val="both"/>
      </w:pPr>
      <w:r>
        <w:t>Фамилия, имя, отчество (последнее при наличии):</w:t>
      </w:r>
      <w:r>
        <w:rPr>
          <w:rStyle w:val="Subst"/>
          <w:bCs/>
          <w:iCs/>
        </w:rPr>
        <w:t xml:space="preserve"> Мордвинов Сергей Михайлович</w:t>
      </w:r>
    </w:p>
    <w:p w:rsidR="0076611B" w:rsidRDefault="0076611B" w:rsidP="00E223A1">
      <w:pPr>
        <w:ind w:left="200"/>
        <w:jc w:val="both"/>
      </w:pPr>
      <w:r>
        <w:t>Год рождения:</w:t>
      </w:r>
      <w:r>
        <w:rPr>
          <w:rStyle w:val="Subst"/>
          <w:bCs/>
          <w:iCs/>
        </w:rPr>
        <w:t xml:space="preserve"> 1987</w:t>
      </w:r>
    </w:p>
    <w:p w:rsidR="0076611B" w:rsidRDefault="0076611B" w:rsidP="00E223A1">
      <w:pPr>
        <w:ind w:left="200"/>
        <w:jc w:val="both"/>
      </w:pPr>
      <w:proofErr w:type="spellStart"/>
      <w:r>
        <w:t>Cведения</w:t>
      </w:r>
      <w:proofErr w:type="spellEnd"/>
      <w:r>
        <w:t xml:space="preserve"> об уровне образования, квалификации, специальности:</w:t>
      </w:r>
      <w:r w:rsidR="00DB3366">
        <w:t xml:space="preserve"> </w:t>
      </w:r>
      <w:r>
        <w:rPr>
          <w:rStyle w:val="Subst"/>
          <w:bCs/>
          <w:iCs/>
        </w:rPr>
        <w:t>Высшее профессиональное</w:t>
      </w:r>
      <w:r>
        <w:rPr>
          <w:rStyle w:val="Subst"/>
          <w:bCs/>
          <w:iCs/>
        </w:rPr>
        <w:br/>
        <w:t>Автономная некоммерческая организация высшего профессионального образования "Региональный финансово-экономический институт". Специальность "Государственное и муниципальное управление". Квалификация - Менеджмент.</w:t>
      </w:r>
    </w:p>
    <w:p w:rsidR="0076611B" w:rsidRDefault="0076611B" w:rsidP="00E223A1">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8788"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216"/>
      </w:tblGrid>
      <w:tr w:rsidR="0076611B" w:rsidTr="00332E9F">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216"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 xml:space="preserve">сентябрь </w:t>
            </w:r>
            <w:r>
              <w:lastRenderedPageBreak/>
              <w:t>2020</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lastRenderedPageBreak/>
              <w:t xml:space="preserve">настоящее </w:t>
            </w:r>
            <w:r>
              <w:lastRenderedPageBreak/>
              <w:t>время</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lastRenderedPageBreak/>
              <w:t>ООО "Альфа", г. Самара</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директор</w:t>
            </w: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октябрь 2020</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ООО "МСХ", г. Самара</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директор</w:t>
            </w:r>
          </w:p>
        </w:tc>
      </w:tr>
      <w:tr w:rsidR="0076611B" w:rsidTr="00332E9F">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июнь 2021</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член Совета директоров</w:t>
            </w:r>
          </w:p>
        </w:tc>
      </w:tr>
      <w:tr w:rsidR="0076611B" w:rsidTr="00332E9F">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сентябрь 2022</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216"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начальник отдела по работе с дебиторской задолженностью</w:t>
            </w:r>
          </w:p>
        </w:tc>
      </w:tr>
    </w:tbl>
    <w:p w:rsidR="0076611B" w:rsidRDefault="0076611B" w:rsidP="00E223A1">
      <w:pPr>
        <w:jc w:val="both"/>
      </w:pPr>
    </w:p>
    <w:p w:rsidR="0076611B" w:rsidRDefault="0076611B" w:rsidP="00E223A1">
      <w:pPr>
        <w:ind w:left="200"/>
        <w:jc w:val="both"/>
      </w:pPr>
      <w:r>
        <w:rPr>
          <w:rStyle w:val="Subst"/>
          <w:bCs/>
          <w:iCs/>
        </w:rPr>
        <w:t>Доли участия в уставном капитале эмитента/обыкновенных акций не имеет</w:t>
      </w:r>
    </w:p>
    <w:p w:rsidR="0076611B" w:rsidRDefault="0076611B" w:rsidP="00E223A1">
      <w:pPr>
        <w:pStyle w:val="ThinDelim"/>
        <w:jc w:val="both"/>
      </w:pPr>
    </w:p>
    <w:p w:rsidR="0076611B" w:rsidRDefault="0076611B" w:rsidP="00E223A1">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Default="0076611B" w:rsidP="00E223A1">
      <w:pPr>
        <w:ind w:left="200"/>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6611B" w:rsidRDefault="0076611B" w:rsidP="00E223A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rsidR="0076611B" w:rsidRDefault="0076611B" w:rsidP="002A555A">
      <w:pPr>
        <w:ind w:left="142"/>
        <w:jc w:val="both"/>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76611B" w:rsidRDefault="0076611B" w:rsidP="00E223A1">
      <w:pPr>
        <w:pStyle w:val="SubHeading"/>
        <w:ind w:left="200"/>
        <w:jc w:val="both"/>
      </w:pPr>
      <w:proofErr w:type="spellStart"/>
      <w:r>
        <w:t>Cведения</w:t>
      </w:r>
      <w:proofErr w:type="spellEnd"/>
      <w:r>
        <w:t xml:space="preserve"> о совершении лицом в отчетном периоде сделки по приобретению или отчуждению акций (долей) эмитента</w:t>
      </w:r>
    </w:p>
    <w:p w:rsidR="0076611B" w:rsidRDefault="0076611B" w:rsidP="002A555A">
      <w:pPr>
        <w:ind w:left="142"/>
        <w:jc w:val="both"/>
        <w:rPr>
          <w:rStyle w:val="Subst"/>
          <w:bCs/>
          <w:iCs/>
        </w:rPr>
      </w:pPr>
      <w:r>
        <w:rPr>
          <w:rStyle w:val="Subst"/>
          <w:bCs/>
          <w:iCs/>
        </w:rPr>
        <w:t>Указанных сделок в отчетном периоде не совершалось</w:t>
      </w:r>
    </w:p>
    <w:p w:rsidR="002A555A" w:rsidRDefault="002A555A" w:rsidP="002A555A">
      <w:pPr>
        <w:ind w:left="142"/>
        <w:jc w:val="both"/>
      </w:pPr>
    </w:p>
    <w:p w:rsidR="0076611B" w:rsidRDefault="0076611B" w:rsidP="00E223A1">
      <w:pPr>
        <w:ind w:left="200"/>
        <w:jc w:val="both"/>
        <w:rPr>
          <w:rStyle w:val="Subst"/>
          <w:bCs/>
          <w:iCs/>
        </w:rPr>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Является супругом члена Совета директоров Мордвиновой Ю.М.</w:t>
      </w:r>
    </w:p>
    <w:p w:rsidR="002A555A" w:rsidRDefault="002A555A" w:rsidP="00E223A1">
      <w:pPr>
        <w:ind w:left="200"/>
        <w:jc w:val="both"/>
      </w:pPr>
    </w:p>
    <w:p w:rsidR="0076611B" w:rsidRDefault="0076611B" w:rsidP="00E223A1">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w:t>
      </w:r>
      <w:r w:rsidR="002A555A">
        <w:t>ой власти:</w:t>
      </w:r>
    </w:p>
    <w:p w:rsidR="0076611B" w:rsidRDefault="0076611B" w:rsidP="00A3008B">
      <w:pPr>
        <w:ind w:left="200"/>
        <w:jc w:val="both"/>
        <w:rPr>
          <w:rStyle w:val="Subst"/>
          <w:bCs/>
          <w:iCs/>
        </w:rPr>
      </w:pPr>
      <w:r>
        <w:rPr>
          <w:rStyle w:val="Subst"/>
          <w:bCs/>
          <w:iCs/>
        </w:rPr>
        <w:t>Лицо к указанным видам ответственности не привлекалось</w:t>
      </w:r>
    </w:p>
    <w:p w:rsidR="002A555A" w:rsidRDefault="002A555A" w:rsidP="00E223A1">
      <w:pPr>
        <w:ind w:left="400"/>
        <w:jc w:val="both"/>
      </w:pPr>
    </w:p>
    <w:p w:rsidR="0076611B" w:rsidRDefault="0076611B" w:rsidP="00E223A1">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76611B" w:rsidRPr="00A3008B" w:rsidRDefault="0076611B" w:rsidP="00A3008B">
      <w:pPr>
        <w:ind w:left="200"/>
        <w:jc w:val="both"/>
        <w:rPr>
          <w:rStyle w:val="Subst"/>
          <w:bCs/>
          <w:iCs/>
        </w:rPr>
      </w:pPr>
      <w:r>
        <w:rPr>
          <w:rStyle w:val="Subst"/>
          <w:bCs/>
          <w:iCs/>
        </w:rPr>
        <w:t>Лицо указанных должностей не занимало</w:t>
      </w:r>
    </w:p>
    <w:p w:rsidR="0076611B" w:rsidRDefault="0076611B" w:rsidP="00E223A1">
      <w:pPr>
        <w:pStyle w:val="SubHeading"/>
        <w:ind w:left="200"/>
        <w:jc w:val="both"/>
      </w:pPr>
      <w:proofErr w:type="spellStart"/>
      <w:r>
        <w:t>Cведения</w:t>
      </w:r>
      <w:proofErr w:type="spellEnd"/>
      <w:r>
        <w:t xml:space="preserve"> об участии в работе комитетов совета директоров (наблюдательного совета)</w:t>
      </w:r>
    </w:p>
    <w:p w:rsidR="0076611B" w:rsidRPr="00A3008B" w:rsidRDefault="0076611B" w:rsidP="00A3008B">
      <w:pPr>
        <w:ind w:left="200"/>
        <w:jc w:val="both"/>
        <w:rPr>
          <w:rStyle w:val="Subst"/>
          <w:bCs/>
          <w:iCs/>
        </w:rPr>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76611B" w:rsidRDefault="0076611B" w:rsidP="00E223A1">
      <w:pPr>
        <w:ind w:left="200"/>
        <w:jc w:val="both"/>
      </w:pPr>
    </w:p>
    <w:p w:rsidR="0076611B" w:rsidRDefault="0076611B" w:rsidP="00E223A1">
      <w:pPr>
        <w:ind w:left="200"/>
        <w:jc w:val="both"/>
      </w:pPr>
      <w:r>
        <w:t>Фамилия, имя, отчество (последнее при наличии):</w:t>
      </w:r>
      <w:r>
        <w:rPr>
          <w:rStyle w:val="Subst"/>
          <w:bCs/>
          <w:iCs/>
        </w:rPr>
        <w:t xml:space="preserve"> </w:t>
      </w:r>
      <w:proofErr w:type="spellStart"/>
      <w:r>
        <w:rPr>
          <w:rStyle w:val="Subst"/>
          <w:bCs/>
          <w:iCs/>
        </w:rPr>
        <w:t>Подкопалова</w:t>
      </w:r>
      <w:proofErr w:type="spellEnd"/>
      <w:r>
        <w:rPr>
          <w:rStyle w:val="Subst"/>
          <w:bCs/>
          <w:iCs/>
        </w:rPr>
        <w:t xml:space="preserve"> Галина Борисовна</w:t>
      </w:r>
    </w:p>
    <w:p w:rsidR="0076611B" w:rsidRDefault="0076611B" w:rsidP="00E223A1">
      <w:pPr>
        <w:ind w:left="200"/>
        <w:jc w:val="both"/>
      </w:pPr>
      <w:r>
        <w:t>Год рождения:</w:t>
      </w:r>
      <w:r>
        <w:rPr>
          <w:rStyle w:val="Subst"/>
          <w:bCs/>
          <w:iCs/>
        </w:rPr>
        <w:t xml:space="preserve"> 1970</w:t>
      </w:r>
    </w:p>
    <w:p w:rsidR="0076611B" w:rsidRDefault="0076611B" w:rsidP="00E223A1">
      <w:pPr>
        <w:ind w:left="200"/>
        <w:jc w:val="both"/>
      </w:pPr>
      <w:proofErr w:type="spellStart"/>
      <w:r>
        <w:t>Cведения</w:t>
      </w:r>
      <w:proofErr w:type="spellEnd"/>
      <w:r>
        <w:t xml:space="preserve"> об уровне образования, квалификации, специальности:</w:t>
      </w:r>
      <w:r w:rsidR="00DB3366">
        <w:t xml:space="preserve"> </w:t>
      </w:r>
      <w:r>
        <w:rPr>
          <w:rStyle w:val="Subst"/>
          <w:bCs/>
          <w:iCs/>
        </w:rPr>
        <w:t>Высшее профессиональное</w:t>
      </w:r>
      <w:r>
        <w:rPr>
          <w:rStyle w:val="Subst"/>
          <w:bCs/>
          <w:iCs/>
        </w:rPr>
        <w:br/>
        <w:t>Московский ордена Дружбы народов Кооперативный институт. Специальность "Ревизия и контроль". Квалификация - экономист-ревизор.</w:t>
      </w:r>
      <w:r>
        <w:rPr>
          <w:rStyle w:val="Subst"/>
          <w:bCs/>
          <w:iCs/>
        </w:rPr>
        <w:br/>
        <w:t>Мордовский государственный университет им. Н.П. Огарева, кандидат экономических наук.</w:t>
      </w:r>
    </w:p>
    <w:p w:rsidR="0076611B" w:rsidRDefault="0076611B" w:rsidP="00E223A1">
      <w:pPr>
        <w:ind w:left="200"/>
        <w:jc w:val="both"/>
      </w:pPr>
      <w:r>
        <w:t xml:space="preserve">Все должности, которые лицо занимает или занимало в эмитенте и в органах управления других </w:t>
      </w:r>
      <w:r>
        <w:lastRenderedPageBreak/>
        <w:t>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8788"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216"/>
      </w:tblGrid>
      <w:tr w:rsidR="0076611B" w:rsidTr="00A3008B">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216"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A3008B">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A3008B">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июнь 2015</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финансовый директор</w:t>
            </w:r>
          </w:p>
        </w:tc>
      </w:tr>
      <w:tr w:rsidR="0076611B" w:rsidTr="00A3008B">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май 2016</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216"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член Совета директоров</w:t>
            </w:r>
          </w:p>
        </w:tc>
      </w:tr>
    </w:tbl>
    <w:p w:rsidR="0076611B" w:rsidRDefault="0076611B" w:rsidP="00E223A1">
      <w:pPr>
        <w:pStyle w:val="ThinDelim"/>
        <w:jc w:val="both"/>
      </w:pPr>
    </w:p>
    <w:p w:rsidR="0076611B" w:rsidRDefault="0076611B" w:rsidP="00E223A1">
      <w:pPr>
        <w:ind w:left="200"/>
        <w:jc w:val="both"/>
      </w:pPr>
      <w:r>
        <w:rPr>
          <w:rStyle w:val="Subst"/>
          <w:bCs/>
          <w:iCs/>
        </w:rPr>
        <w:t>Доли участия в уставном капитале эмитента/обыкновенных акций не имеет</w:t>
      </w:r>
    </w:p>
    <w:p w:rsidR="0076611B" w:rsidRDefault="0076611B" w:rsidP="00E223A1">
      <w:pPr>
        <w:pStyle w:val="ThinDelim"/>
        <w:jc w:val="both"/>
      </w:pPr>
    </w:p>
    <w:p w:rsidR="0076611B" w:rsidRDefault="0076611B" w:rsidP="00E223A1">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Default="0076611B" w:rsidP="00E223A1">
      <w:pPr>
        <w:ind w:left="200"/>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6611B" w:rsidRDefault="0076611B" w:rsidP="00E223A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rsidR="0076611B" w:rsidRPr="00A3008B" w:rsidRDefault="0076611B" w:rsidP="00A3008B">
      <w:pPr>
        <w:ind w:left="200"/>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76611B" w:rsidRDefault="0076611B" w:rsidP="00E223A1">
      <w:pPr>
        <w:pStyle w:val="SubHeading"/>
        <w:ind w:left="200"/>
        <w:jc w:val="both"/>
      </w:pPr>
      <w:proofErr w:type="spellStart"/>
      <w:r>
        <w:t>Cведения</w:t>
      </w:r>
      <w:proofErr w:type="spellEnd"/>
      <w:r>
        <w:t xml:space="preserve"> о совершении лицом в отчетном периоде сделки по приобретению или отчуждению акций (долей) эмитента</w:t>
      </w:r>
    </w:p>
    <w:p w:rsidR="0076611B" w:rsidRDefault="0076611B" w:rsidP="00A3008B">
      <w:pPr>
        <w:ind w:left="200"/>
        <w:jc w:val="both"/>
        <w:rPr>
          <w:rStyle w:val="Subst"/>
          <w:bCs/>
          <w:iCs/>
        </w:rPr>
      </w:pPr>
      <w:r>
        <w:rPr>
          <w:rStyle w:val="Subst"/>
          <w:bCs/>
          <w:iCs/>
        </w:rPr>
        <w:t>Указанных сделок в отчетном периоде не совершалось</w:t>
      </w:r>
    </w:p>
    <w:p w:rsidR="002A555A" w:rsidRDefault="002A555A" w:rsidP="00E223A1">
      <w:pPr>
        <w:ind w:left="400"/>
        <w:jc w:val="both"/>
      </w:pPr>
    </w:p>
    <w:p w:rsidR="0076611B" w:rsidRDefault="0076611B" w:rsidP="00E223A1">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w:t>
      </w:r>
      <w:r w:rsidR="002A555A">
        <w:t>твенной деятельностью эмитента:</w:t>
      </w:r>
    </w:p>
    <w:p w:rsidR="0076611B" w:rsidRDefault="0076611B" w:rsidP="00A3008B">
      <w:pPr>
        <w:ind w:left="200"/>
        <w:jc w:val="both"/>
        <w:rPr>
          <w:rStyle w:val="Subst"/>
          <w:bCs/>
          <w:iCs/>
        </w:rPr>
      </w:pPr>
      <w:r>
        <w:rPr>
          <w:rStyle w:val="Subst"/>
          <w:bCs/>
          <w:iCs/>
        </w:rPr>
        <w:t>Указанных родственных связей нет</w:t>
      </w:r>
    </w:p>
    <w:p w:rsidR="002A555A" w:rsidRDefault="002A555A" w:rsidP="00E223A1">
      <w:pPr>
        <w:ind w:left="400"/>
        <w:jc w:val="both"/>
      </w:pPr>
    </w:p>
    <w:p w:rsidR="0076611B" w:rsidRDefault="0076611B" w:rsidP="00E223A1">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w:t>
      </w:r>
      <w:r w:rsidR="002A555A">
        <w:t xml:space="preserve"> против государственной власти:</w:t>
      </w:r>
    </w:p>
    <w:p w:rsidR="0076611B" w:rsidRDefault="0076611B" w:rsidP="00A3008B">
      <w:pPr>
        <w:ind w:left="200"/>
        <w:jc w:val="both"/>
        <w:rPr>
          <w:rStyle w:val="Subst"/>
          <w:bCs/>
          <w:iCs/>
        </w:rPr>
      </w:pPr>
      <w:r>
        <w:rPr>
          <w:rStyle w:val="Subst"/>
          <w:bCs/>
          <w:iCs/>
        </w:rPr>
        <w:t>Лицо к указанным видам ответственности не привлекалось</w:t>
      </w:r>
    </w:p>
    <w:p w:rsidR="002A555A" w:rsidRDefault="002A555A" w:rsidP="00E223A1">
      <w:pPr>
        <w:ind w:left="400"/>
        <w:jc w:val="both"/>
      </w:pPr>
    </w:p>
    <w:p w:rsidR="0076611B" w:rsidRDefault="0076611B" w:rsidP="002A555A">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bCs/>
          <w:iCs/>
        </w:rPr>
        <w:t>Лицо указанных должностей не занимало</w:t>
      </w:r>
    </w:p>
    <w:p w:rsidR="0076611B" w:rsidRDefault="0076611B" w:rsidP="00E223A1">
      <w:pPr>
        <w:pStyle w:val="SubHeading"/>
        <w:ind w:left="200"/>
        <w:jc w:val="both"/>
      </w:pPr>
      <w:proofErr w:type="spellStart"/>
      <w:r>
        <w:t>Cведения</w:t>
      </w:r>
      <w:proofErr w:type="spellEnd"/>
      <w:r>
        <w:t xml:space="preserve"> об участии в работе комитетов совета директоров (наблюдательного совета)</w:t>
      </w:r>
    </w:p>
    <w:p w:rsidR="0076611B" w:rsidRDefault="0076611B" w:rsidP="00E223A1">
      <w:pPr>
        <w:pStyle w:val="ThinDelim"/>
        <w:jc w:val="both"/>
      </w:pPr>
    </w:p>
    <w:tbl>
      <w:tblPr>
        <w:tblW w:w="8788" w:type="dxa"/>
        <w:tblInd w:w="356" w:type="dxa"/>
        <w:tblLayout w:type="fixed"/>
        <w:tblCellMar>
          <w:left w:w="72" w:type="dxa"/>
          <w:right w:w="72" w:type="dxa"/>
        </w:tblCellMar>
        <w:tblLook w:val="0000" w:firstRow="0" w:lastRow="0" w:firstColumn="0" w:lastColumn="0" w:noHBand="0" w:noVBand="0"/>
      </w:tblPr>
      <w:tblGrid>
        <w:gridCol w:w="7412"/>
        <w:gridCol w:w="1376"/>
      </w:tblGrid>
      <w:tr w:rsidR="0076611B" w:rsidTr="00A3008B">
        <w:tc>
          <w:tcPr>
            <w:tcW w:w="7412"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Название комитета</w:t>
            </w:r>
          </w:p>
        </w:tc>
        <w:tc>
          <w:tcPr>
            <w:tcW w:w="1376"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Председатель</w:t>
            </w:r>
          </w:p>
        </w:tc>
      </w:tr>
      <w:tr w:rsidR="0076611B" w:rsidTr="00A3008B">
        <w:tc>
          <w:tcPr>
            <w:tcW w:w="741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Комитет по аудиту</w:t>
            </w:r>
          </w:p>
        </w:tc>
        <w:tc>
          <w:tcPr>
            <w:tcW w:w="1376"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Да</w:t>
            </w:r>
          </w:p>
        </w:tc>
      </w:tr>
    </w:tbl>
    <w:p w:rsidR="0076611B" w:rsidRDefault="0076611B" w:rsidP="00E223A1">
      <w:pPr>
        <w:jc w:val="both"/>
      </w:pPr>
    </w:p>
    <w:p w:rsidR="0076611B" w:rsidRDefault="0076611B" w:rsidP="00E223A1">
      <w:pPr>
        <w:ind w:left="200"/>
        <w:jc w:val="both"/>
      </w:pPr>
      <w:r>
        <w:t>Фамилия, имя, отчество (последнее при наличии):</w:t>
      </w:r>
      <w:r>
        <w:rPr>
          <w:rStyle w:val="Subst"/>
          <w:bCs/>
          <w:iCs/>
        </w:rPr>
        <w:t xml:space="preserve"> Супрун Юлия Николаевна</w:t>
      </w:r>
    </w:p>
    <w:p w:rsidR="0076611B" w:rsidRDefault="0076611B" w:rsidP="00E223A1">
      <w:pPr>
        <w:ind w:left="200"/>
        <w:jc w:val="both"/>
      </w:pPr>
      <w:r>
        <w:t>Год рождения:</w:t>
      </w:r>
      <w:r>
        <w:rPr>
          <w:rStyle w:val="Subst"/>
          <w:bCs/>
          <w:iCs/>
        </w:rPr>
        <w:t xml:space="preserve"> 1979</w:t>
      </w:r>
    </w:p>
    <w:p w:rsidR="0076611B" w:rsidRDefault="0076611B" w:rsidP="00E223A1">
      <w:pPr>
        <w:ind w:left="200"/>
        <w:jc w:val="both"/>
      </w:pPr>
      <w:proofErr w:type="spellStart"/>
      <w:r>
        <w:t>Cведения</w:t>
      </w:r>
      <w:proofErr w:type="spellEnd"/>
      <w:r>
        <w:t xml:space="preserve"> об уровне образования, квалификации, специальности:</w:t>
      </w:r>
      <w:r>
        <w:br/>
      </w:r>
      <w:r>
        <w:rPr>
          <w:rStyle w:val="Subst"/>
          <w:bCs/>
          <w:iCs/>
        </w:rPr>
        <w:t>Высшее профессиональное</w:t>
      </w:r>
      <w:r>
        <w:rPr>
          <w:rStyle w:val="Subst"/>
          <w:bCs/>
          <w:iCs/>
        </w:rPr>
        <w:br/>
        <w:t>Негосударственное образовательное учреждение Самарская гуманитарная академия. Специальность "Юриспруденция". Квалификация - юрист.</w:t>
      </w:r>
    </w:p>
    <w:p w:rsidR="0076611B" w:rsidRDefault="0076611B" w:rsidP="00E223A1">
      <w:pPr>
        <w:ind w:left="200"/>
        <w:jc w:val="both"/>
      </w:pPr>
      <w:r>
        <w:t xml:space="preserve">Все должности, которые лицо занимает или занимало в эмитенте и в органах управления других </w:t>
      </w:r>
      <w:r>
        <w:lastRenderedPageBreak/>
        <w:t>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8788"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216"/>
      </w:tblGrid>
      <w:tr w:rsidR="0076611B" w:rsidTr="00A3008B">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216"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A3008B">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A3008B">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май 2016</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член Совета директоров</w:t>
            </w:r>
          </w:p>
        </w:tc>
      </w:tr>
      <w:tr w:rsidR="0076611B" w:rsidTr="00A3008B">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март 2021</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апрель 2024</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ООО "Приволжская сетевая компания", г. Дзержинск</w:t>
            </w:r>
          </w:p>
        </w:tc>
        <w:tc>
          <w:tcPr>
            <w:tcW w:w="2216"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заместитель директора по правовым и корпоративным вопросам</w:t>
            </w:r>
          </w:p>
        </w:tc>
      </w:tr>
    </w:tbl>
    <w:p w:rsidR="0076611B" w:rsidRDefault="0076611B" w:rsidP="00E223A1">
      <w:pPr>
        <w:jc w:val="both"/>
      </w:pPr>
    </w:p>
    <w:p w:rsidR="0076611B" w:rsidRDefault="0076611B" w:rsidP="00E223A1">
      <w:pPr>
        <w:ind w:left="200"/>
        <w:jc w:val="both"/>
      </w:pPr>
      <w:r>
        <w:rPr>
          <w:rStyle w:val="Subst"/>
          <w:bCs/>
          <w:iCs/>
        </w:rPr>
        <w:t>Доли участия в уставном капитале эмитента/обыкновенных акций не имеет</w:t>
      </w:r>
    </w:p>
    <w:p w:rsidR="0076611B" w:rsidRDefault="0076611B" w:rsidP="00E223A1">
      <w:pPr>
        <w:pStyle w:val="ThinDelim"/>
        <w:jc w:val="both"/>
      </w:pPr>
    </w:p>
    <w:p w:rsidR="0076611B" w:rsidRDefault="0076611B" w:rsidP="00E223A1">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Default="0076611B" w:rsidP="00E223A1">
      <w:pPr>
        <w:ind w:left="200"/>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6611B" w:rsidRDefault="0076611B" w:rsidP="00E223A1">
      <w:pPr>
        <w:pStyle w:val="ThinDelim"/>
        <w:jc w:val="both"/>
      </w:pPr>
    </w:p>
    <w:p w:rsidR="0076611B" w:rsidRDefault="0076611B" w:rsidP="00E223A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rsidR="0076611B" w:rsidRPr="00A3008B" w:rsidRDefault="0076611B" w:rsidP="00A3008B">
      <w:pPr>
        <w:ind w:left="200"/>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76611B" w:rsidRDefault="0076611B" w:rsidP="00E223A1">
      <w:pPr>
        <w:pStyle w:val="SubHeading"/>
        <w:ind w:left="200"/>
        <w:jc w:val="both"/>
      </w:pPr>
      <w:proofErr w:type="spellStart"/>
      <w:r>
        <w:t>Cведения</w:t>
      </w:r>
      <w:proofErr w:type="spellEnd"/>
      <w:r>
        <w:t xml:space="preserve"> о совершении лицом в отчетном периоде сделки по приобретению или отчуждению акций (долей) эмитента</w:t>
      </w:r>
    </w:p>
    <w:p w:rsidR="0076611B" w:rsidRDefault="0076611B" w:rsidP="00A3008B">
      <w:pPr>
        <w:ind w:left="200"/>
        <w:jc w:val="both"/>
        <w:rPr>
          <w:rStyle w:val="Subst"/>
          <w:bCs/>
          <w:iCs/>
        </w:rPr>
      </w:pPr>
      <w:r>
        <w:rPr>
          <w:rStyle w:val="Subst"/>
          <w:bCs/>
          <w:iCs/>
        </w:rPr>
        <w:t>Указанных сделок в отчетном периоде не совершалось</w:t>
      </w:r>
    </w:p>
    <w:p w:rsidR="002A555A" w:rsidRDefault="002A555A" w:rsidP="00E223A1">
      <w:pPr>
        <w:ind w:left="400"/>
        <w:jc w:val="both"/>
      </w:pPr>
    </w:p>
    <w:p w:rsidR="0076611B" w:rsidRDefault="0076611B" w:rsidP="00E223A1">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w:t>
      </w:r>
      <w:r w:rsidR="002A555A">
        <w:t>твенной деятельностью эмитента:</w:t>
      </w:r>
    </w:p>
    <w:p w:rsidR="0076611B" w:rsidRDefault="0076611B" w:rsidP="00A3008B">
      <w:pPr>
        <w:ind w:left="200"/>
        <w:jc w:val="both"/>
        <w:rPr>
          <w:rStyle w:val="Subst"/>
          <w:bCs/>
          <w:iCs/>
        </w:rPr>
      </w:pPr>
      <w:r>
        <w:rPr>
          <w:rStyle w:val="Subst"/>
          <w:bCs/>
          <w:iCs/>
        </w:rPr>
        <w:t>Указанных родственных связей нет</w:t>
      </w:r>
    </w:p>
    <w:p w:rsidR="002A555A" w:rsidRDefault="002A555A" w:rsidP="00E223A1">
      <w:pPr>
        <w:ind w:left="400"/>
        <w:jc w:val="both"/>
      </w:pPr>
    </w:p>
    <w:p w:rsidR="0076611B" w:rsidRDefault="0076611B" w:rsidP="00E223A1">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w:t>
      </w:r>
      <w:r w:rsidR="002A555A">
        <w:t xml:space="preserve"> против государственной власти:</w:t>
      </w:r>
    </w:p>
    <w:p w:rsidR="0076611B" w:rsidRDefault="0076611B" w:rsidP="00A3008B">
      <w:pPr>
        <w:ind w:left="200"/>
        <w:jc w:val="both"/>
        <w:rPr>
          <w:rStyle w:val="Subst"/>
          <w:bCs/>
          <w:iCs/>
        </w:rPr>
      </w:pPr>
      <w:r>
        <w:rPr>
          <w:rStyle w:val="Subst"/>
          <w:bCs/>
          <w:iCs/>
        </w:rPr>
        <w:t>Лицо к указанным видам ответственности не привлекалось</w:t>
      </w:r>
    </w:p>
    <w:p w:rsidR="002A555A" w:rsidRDefault="002A555A" w:rsidP="00E223A1">
      <w:pPr>
        <w:ind w:left="400"/>
        <w:jc w:val="both"/>
      </w:pPr>
    </w:p>
    <w:p w:rsidR="0076611B" w:rsidRDefault="0076611B" w:rsidP="00E223A1">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w:t>
      </w:r>
      <w:r w:rsidR="002A555A">
        <w:t>состоятельности (банкротстве)":</w:t>
      </w:r>
    </w:p>
    <w:p w:rsidR="0076611B" w:rsidRPr="00A3008B" w:rsidRDefault="0076611B" w:rsidP="00A3008B">
      <w:pPr>
        <w:ind w:left="200"/>
        <w:jc w:val="both"/>
        <w:rPr>
          <w:rStyle w:val="Subst"/>
          <w:bCs/>
          <w:iCs/>
        </w:rPr>
      </w:pPr>
      <w:r>
        <w:rPr>
          <w:rStyle w:val="Subst"/>
          <w:bCs/>
          <w:iCs/>
        </w:rPr>
        <w:t>Лицо указанных должностей не занимало</w:t>
      </w:r>
    </w:p>
    <w:p w:rsidR="0076611B" w:rsidRDefault="0076611B" w:rsidP="00E223A1">
      <w:pPr>
        <w:pStyle w:val="SubHeading"/>
        <w:ind w:left="200"/>
        <w:jc w:val="both"/>
      </w:pPr>
      <w:proofErr w:type="spellStart"/>
      <w:r>
        <w:t>Cведения</w:t>
      </w:r>
      <w:proofErr w:type="spellEnd"/>
      <w:r>
        <w:t xml:space="preserve"> об участии в работе комитетов совета директоров (наблюдательного совета)</w:t>
      </w:r>
    </w:p>
    <w:p w:rsidR="0076611B" w:rsidRPr="00A3008B" w:rsidRDefault="0076611B" w:rsidP="00A3008B">
      <w:pPr>
        <w:ind w:left="200"/>
        <w:jc w:val="both"/>
        <w:rPr>
          <w:rStyle w:val="Subst"/>
          <w:bCs/>
          <w:iCs/>
        </w:rPr>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90CA1" w:rsidRDefault="00A90CA1" w:rsidP="00E223A1">
      <w:pPr>
        <w:ind w:left="200"/>
        <w:jc w:val="both"/>
      </w:pPr>
    </w:p>
    <w:p w:rsidR="0076611B" w:rsidRDefault="0076611B" w:rsidP="00E223A1">
      <w:pPr>
        <w:ind w:left="200"/>
        <w:jc w:val="both"/>
      </w:pPr>
      <w:r>
        <w:t>Дополнительные сведения:</w:t>
      </w:r>
      <w:r>
        <w:br/>
      </w:r>
      <w:r>
        <w:rPr>
          <w:rStyle w:val="Subst"/>
          <w:bCs/>
          <w:iCs/>
        </w:rPr>
        <w:t>Члены Совета директоров Ситникова С.Б. и Егорова В.С. являются независимыми членами Совета директоров Общества.</w:t>
      </w:r>
    </w:p>
    <w:p w:rsidR="0076611B" w:rsidRDefault="0076611B" w:rsidP="00E223A1">
      <w:pPr>
        <w:pStyle w:val="2"/>
        <w:jc w:val="both"/>
      </w:pPr>
      <w:bookmarkStart w:id="35" w:name="_Toc196398476"/>
      <w:r>
        <w:t>2.1.2. Информация о единоличном исполнительном органе эмитента</w:t>
      </w:r>
      <w:bookmarkEnd w:id="35"/>
    </w:p>
    <w:p w:rsidR="0076611B" w:rsidRDefault="0076611B" w:rsidP="00E223A1">
      <w:pPr>
        <w:ind w:left="200"/>
        <w:jc w:val="both"/>
      </w:pPr>
    </w:p>
    <w:p w:rsidR="0076611B" w:rsidRDefault="0076611B" w:rsidP="00E223A1">
      <w:pPr>
        <w:ind w:left="200"/>
        <w:jc w:val="both"/>
      </w:pPr>
      <w:r>
        <w:t>Фамилия, имя, отчество (последнее при наличии):</w:t>
      </w:r>
      <w:r>
        <w:rPr>
          <w:rStyle w:val="Subst"/>
          <w:bCs/>
          <w:iCs/>
        </w:rPr>
        <w:t xml:space="preserve"> Лялькин Виталий Александрович</w:t>
      </w:r>
    </w:p>
    <w:p w:rsidR="0076611B" w:rsidRDefault="0076611B" w:rsidP="0029608E">
      <w:pPr>
        <w:ind w:left="200"/>
        <w:jc w:val="both"/>
      </w:pPr>
      <w:r>
        <w:t>Год рождения:</w:t>
      </w:r>
      <w:r>
        <w:rPr>
          <w:rStyle w:val="Subst"/>
          <w:bCs/>
          <w:iCs/>
        </w:rPr>
        <w:t xml:space="preserve"> 1977</w:t>
      </w:r>
    </w:p>
    <w:p w:rsidR="0076611B" w:rsidRDefault="0076611B" w:rsidP="00E223A1">
      <w:pPr>
        <w:ind w:left="200"/>
        <w:jc w:val="both"/>
      </w:pPr>
      <w:proofErr w:type="spellStart"/>
      <w:r>
        <w:t>Cведения</w:t>
      </w:r>
      <w:proofErr w:type="spellEnd"/>
      <w:r>
        <w:t xml:space="preserve"> об уровне образования, квалификации, специальности:</w:t>
      </w:r>
      <w:r w:rsidR="00A90CA1">
        <w:t xml:space="preserve"> </w:t>
      </w:r>
      <w:r>
        <w:rPr>
          <w:rStyle w:val="Subst"/>
          <w:bCs/>
          <w:iCs/>
        </w:rPr>
        <w:t>Высшее профессиональное</w:t>
      </w:r>
      <w:r>
        <w:rPr>
          <w:rStyle w:val="Subst"/>
          <w:bCs/>
          <w:iCs/>
        </w:rPr>
        <w:br/>
        <w:t>Мордовский государственный университет имени Н.П. Огарева. Специальность "Финансы и кредит". Квалификация - экономист</w:t>
      </w:r>
    </w:p>
    <w:p w:rsidR="0076611B" w:rsidRDefault="0076611B" w:rsidP="00E223A1">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8788"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216"/>
      </w:tblGrid>
      <w:tr w:rsidR="0076611B" w:rsidTr="00A3008B">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216"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A3008B">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A3008B">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июнь 2015</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август 2020</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Филиал ПАО «МРСК Волги» - «Мордовэнерго», г. Саранск</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заместитель директора по реализации и развитию услуг</w:t>
            </w:r>
          </w:p>
        </w:tc>
      </w:tr>
      <w:tr w:rsidR="0076611B" w:rsidTr="00A3008B">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август 2020</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сентябрь 2020</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Филиал ПАО «</w:t>
            </w:r>
            <w:proofErr w:type="spellStart"/>
            <w:r>
              <w:t>Россети</w:t>
            </w:r>
            <w:proofErr w:type="spellEnd"/>
            <w:r>
              <w:t xml:space="preserve"> Волга» - «Мордовэнерго», г. Саранск</w:t>
            </w:r>
          </w:p>
        </w:tc>
        <w:tc>
          <w:tcPr>
            <w:tcW w:w="2216"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заместитель директора по реализации и развитию услуг</w:t>
            </w:r>
          </w:p>
        </w:tc>
      </w:tr>
      <w:tr w:rsidR="0076611B" w:rsidTr="00A3008B">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октябрь 2020</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216"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Генеральный директор</w:t>
            </w:r>
          </w:p>
        </w:tc>
      </w:tr>
    </w:tbl>
    <w:p w:rsidR="0076611B" w:rsidRDefault="0076611B" w:rsidP="00E223A1">
      <w:pPr>
        <w:pStyle w:val="ThinDelim"/>
        <w:jc w:val="both"/>
      </w:pPr>
    </w:p>
    <w:p w:rsidR="0076611B" w:rsidRDefault="0076611B" w:rsidP="00E223A1">
      <w:pPr>
        <w:ind w:left="200"/>
        <w:jc w:val="both"/>
      </w:pPr>
      <w:r>
        <w:rPr>
          <w:rStyle w:val="Subst"/>
          <w:bCs/>
          <w:iCs/>
        </w:rPr>
        <w:t>Доли участия в уставном капитале эмитента/обыкновенных акций не имеет</w:t>
      </w:r>
    </w:p>
    <w:p w:rsidR="0076611B" w:rsidRDefault="0076611B" w:rsidP="00E223A1">
      <w:pPr>
        <w:pStyle w:val="ThinDelim"/>
        <w:jc w:val="both"/>
      </w:pPr>
    </w:p>
    <w:p w:rsidR="0076611B" w:rsidRDefault="0076611B" w:rsidP="00E223A1">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Default="0076611B" w:rsidP="00E223A1">
      <w:pPr>
        <w:ind w:left="200"/>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6611B" w:rsidRDefault="0076611B" w:rsidP="00E223A1">
      <w:pPr>
        <w:pStyle w:val="ThinDelim"/>
        <w:jc w:val="both"/>
      </w:pPr>
    </w:p>
    <w:p w:rsidR="0076611B" w:rsidRDefault="0076611B" w:rsidP="00E223A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rsidR="00605615" w:rsidRDefault="00605615" w:rsidP="00330586">
      <w:pPr>
        <w:ind w:left="284"/>
        <w:jc w:val="both"/>
        <w:rPr>
          <w:rStyle w:val="Subst"/>
          <w:bCs/>
          <w:iCs/>
        </w:rPr>
      </w:pPr>
    </w:p>
    <w:p w:rsidR="0076611B" w:rsidRPr="00A3008B" w:rsidRDefault="0076611B" w:rsidP="00A3008B">
      <w:pPr>
        <w:ind w:left="200"/>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76611B" w:rsidRDefault="0076611B" w:rsidP="00E223A1">
      <w:pPr>
        <w:pStyle w:val="SubHeading"/>
        <w:ind w:left="200"/>
        <w:jc w:val="both"/>
      </w:pPr>
      <w:proofErr w:type="spellStart"/>
      <w:r>
        <w:t>Cведения</w:t>
      </w:r>
      <w:proofErr w:type="spellEnd"/>
      <w:r>
        <w:t xml:space="preserve"> о совершении лицом в отчетном периоде сделки по приобретению или отчуждению акций (долей) эмитента</w:t>
      </w:r>
    </w:p>
    <w:p w:rsidR="0076611B" w:rsidRDefault="0076611B" w:rsidP="00A3008B">
      <w:pPr>
        <w:ind w:left="200"/>
        <w:jc w:val="both"/>
        <w:rPr>
          <w:rStyle w:val="Subst"/>
          <w:bCs/>
          <w:iCs/>
        </w:rPr>
      </w:pPr>
      <w:r>
        <w:rPr>
          <w:rStyle w:val="Subst"/>
          <w:bCs/>
          <w:iCs/>
        </w:rPr>
        <w:t>Указанных сделок в отчетном периоде не совершалось</w:t>
      </w:r>
    </w:p>
    <w:p w:rsidR="002A555A" w:rsidRDefault="002A555A" w:rsidP="00E223A1">
      <w:pPr>
        <w:ind w:left="400"/>
        <w:jc w:val="both"/>
      </w:pPr>
    </w:p>
    <w:p w:rsidR="0076611B" w:rsidRDefault="0076611B" w:rsidP="002A555A">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Указанных родственных связей нет</w:t>
      </w:r>
    </w:p>
    <w:p w:rsidR="0076611B" w:rsidRDefault="0076611B" w:rsidP="002A555A">
      <w:pPr>
        <w:ind w:left="200"/>
        <w:jc w:val="both"/>
        <w:rPr>
          <w:rStyle w:val="Subst"/>
          <w:bCs/>
          <w:iCs/>
        </w:rPr>
      </w:pPr>
      <w: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w:t>
      </w:r>
      <w:r w:rsidR="002A555A">
        <w:t>против государственной власти:</w:t>
      </w:r>
      <w:r w:rsidR="002A555A">
        <w:br/>
      </w:r>
      <w:r>
        <w:rPr>
          <w:rStyle w:val="Subst"/>
          <w:bCs/>
          <w:iCs/>
        </w:rPr>
        <w:t>Лицо к указанным видам ответственности не привлекалось</w:t>
      </w:r>
    </w:p>
    <w:p w:rsidR="002A555A" w:rsidRDefault="002A555A" w:rsidP="002A555A">
      <w:pPr>
        <w:ind w:left="200"/>
        <w:jc w:val="both"/>
      </w:pPr>
    </w:p>
    <w:p w:rsidR="0076611B" w:rsidRDefault="0076611B" w:rsidP="00E223A1">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w:t>
      </w:r>
      <w:r w:rsidR="002A555A">
        <w:t>состоятельности (банкротстве)":</w:t>
      </w:r>
    </w:p>
    <w:p w:rsidR="0076611B" w:rsidRPr="00A3008B" w:rsidRDefault="0076611B" w:rsidP="00A3008B">
      <w:pPr>
        <w:ind w:left="200"/>
        <w:jc w:val="both"/>
        <w:rPr>
          <w:rStyle w:val="Subst"/>
          <w:bCs/>
          <w:iCs/>
        </w:rPr>
      </w:pPr>
      <w:r>
        <w:rPr>
          <w:rStyle w:val="Subst"/>
          <w:bCs/>
          <w:iCs/>
        </w:rPr>
        <w:t>Лицо указанных должностей не занимало</w:t>
      </w:r>
    </w:p>
    <w:p w:rsidR="0076611B" w:rsidRDefault="0076611B" w:rsidP="00E223A1">
      <w:pPr>
        <w:pStyle w:val="ThinDelim"/>
        <w:jc w:val="both"/>
      </w:pPr>
    </w:p>
    <w:p w:rsidR="0076611B" w:rsidRDefault="0076611B" w:rsidP="00E223A1">
      <w:pPr>
        <w:pStyle w:val="2"/>
        <w:jc w:val="both"/>
      </w:pPr>
      <w:bookmarkStart w:id="36" w:name="_Toc196398477"/>
      <w:r>
        <w:lastRenderedPageBreak/>
        <w:t>2.1.3. Состав коллегиального исполнительного органа эмитента</w:t>
      </w:r>
      <w:bookmarkEnd w:id="36"/>
    </w:p>
    <w:p w:rsidR="0076611B" w:rsidRDefault="0076611B" w:rsidP="00E223A1">
      <w:pPr>
        <w:ind w:left="200"/>
        <w:jc w:val="both"/>
      </w:pPr>
      <w:r>
        <w:rPr>
          <w:rStyle w:val="Subst"/>
          <w:bCs/>
          <w:iCs/>
        </w:rPr>
        <w:t>Коллегиальный исполнительный орган не предусмотрен</w:t>
      </w:r>
    </w:p>
    <w:p w:rsidR="0076611B" w:rsidRDefault="0076611B" w:rsidP="00E223A1">
      <w:pPr>
        <w:pStyle w:val="2"/>
        <w:jc w:val="both"/>
      </w:pPr>
      <w:bookmarkStart w:id="37" w:name="_Toc196398478"/>
      <w: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7"/>
    </w:p>
    <w:p w:rsidR="0076611B" w:rsidRDefault="0076611B" w:rsidP="00E223A1">
      <w:pPr>
        <w:ind w:left="200"/>
        <w:jc w:val="both"/>
      </w:pPr>
      <w:r>
        <w:t>Основные положения политики в области вознаграждения и (или) компенсации расходов членов органов управления эмитента:</w:t>
      </w:r>
      <w:r>
        <w:br/>
      </w:r>
      <w:r>
        <w:rPr>
          <w:rStyle w:val="Subst"/>
          <w:bCs/>
          <w:iCs/>
        </w:rPr>
        <w:t xml:space="preserve">Размер вознаграждений и компенсаций членам Совета директоров Общества определяется в соответствии с Положением о выплате членам Совета директоров ПАО «Мордовская энергосбытовая компания» вознаграждений и компенсаций в новой редакции, утвержденным годовым Общим собранием акционеров Общества 28.05.2015 г. (Протокол № 15 от 02.06.2015 г.). </w:t>
      </w:r>
      <w:r>
        <w:rPr>
          <w:rStyle w:val="Subst"/>
          <w:bCs/>
          <w:iCs/>
        </w:rPr>
        <w:br/>
        <w:t>Основным критерием выплаты вознаграждения является участие в заседаниях Совета директоров. За участие в заседании Совета директоров (независимо от формы его проведения) члену Совета директоров Общества выплачивается вознаграждение в размере суммы, эквивалентной пяти минимальным тарифным ставкам рабочего первого разряда промышленно-производственного персонала, установленным Приказом Генерального директора Общества на день проведения заседания Совета директоров Общества. Размер вознаграждения, выплачиваемого Председателю (заместителю Председателя) за каждое заседание, на котором он выполнял функции Председателя, увеличивается на 50%.</w:t>
      </w:r>
      <w:r>
        <w:rPr>
          <w:rStyle w:val="Subst"/>
          <w:bCs/>
          <w:iCs/>
        </w:rPr>
        <w:br/>
        <w:t>Согласно Положению о выплате членам Совета директоров вознаграждений и компенсаций, членам Совета выплачивается дополнительное вознаграждение за показатель чистой прибыли Общества по данным годовой бухгалтерской отчетности, утвержденной Общим собранием акционеров Общества. Таким образом, выплата годового вознаграждения находится в прямой зависимости от результатов деятельности компании.</w:t>
      </w:r>
      <w:r>
        <w:rPr>
          <w:rStyle w:val="Subst"/>
          <w:bCs/>
          <w:iCs/>
        </w:rPr>
        <w:br/>
        <w:t xml:space="preserve">Полный текст Положения о выплате членам Совета директоров Общества вознаграждений и компенсаций размещен на официальном сайте Общества в сети Интернет: </w:t>
      </w:r>
      <w:hyperlink r:id="rId11" w:history="1">
        <w:r w:rsidR="00A90CA1" w:rsidRPr="00713C62">
          <w:rPr>
            <w:rStyle w:val="a5"/>
          </w:rPr>
          <w:t>http://www.mesk.ru/raskrytie_informacyi/raskrytie_informatsii_emitentom/doc-166.php</w:t>
        </w:r>
      </w:hyperlink>
      <w:r>
        <w:rPr>
          <w:rStyle w:val="Subst"/>
          <w:bCs/>
          <w:iCs/>
        </w:rPr>
        <w:t xml:space="preserve">, а также публикуется на странице в сети Интернет ООО «Интерфакс-ЦРКИ» – информационного агентства, аккредитованного ЦБ РФ на раскрытие информации, по адресу: </w:t>
      </w:r>
      <w:hyperlink r:id="rId12" w:history="1">
        <w:r w:rsidR="00A90CA1" w:rsidRPr="00713C62">
          <w:rPr>
            <w:rStyle w:val="a5"/>
          </w:rPr>
          <w:t>http://www.e-disclosure.ru/portal/company.aspx?id=5754</w:t>
        </w:r>
      </w:hyperlink>
      <w:r w:rsidR="00A90CA1">
        <w:rPr>
          <w:rStyle w:val="Subst"/>
          <w:bCs/>
          <w:iCs/>
        </w:rPr>
        <w:t>.</w:t>
      </w:r>
      <w:r>
        <w:rPr>
          <w:rStyle w:val="Subst"/>
          <w:bCs/>
          <w:iCs/>
        </w:rPr>
        <w:br/>
        <w:t>Часть членов Совета директоров Общества занимают должности, входящие в категорию Руководители Общества согласно Положению о материальном стимулировании руководителей ПАО «Мордовская энергосбытовая компания», утвержденному Советом директоров Общества 18.11.2021 г. (Протокол № 251 от 18.11.2021 г.).</w:t>
      </w:r>
      <w:r>
        <w:rPr>
          <w:rStyle w:val="Subst"/>
          <w:bCs/>
          <w:iCs/>
        </w:rPr>
        <w:br/>
        <w:t xml:space="preserve">Условия и порядок определения всех видов вознаграждения, включая заработную плату указанных членов Совета директоров Общества, являвшихся его работниками, а также порядок возмещения расходов содержатся в трудовых договорах этих лиц и Положении о материальном стимулировании руководителей Общества, которое регулирует вопросы материального стимулирования указанных лиц и направлено на повышение эффективности управления имуществом и финансами Общества, на установление единых принципов системы материального стимулирования Руководителей Общества. К Руководителям относятся работники, в компетенцию которых входит, наряду с управлением текущей деятельностью по своим направлениям, решение стратегических вопросов в области производства и финансов. </w:t>
      </w:r>
      <w:r>
        <w:rPr>
          <w:rStyle w:val="Subst"/>
          <w:bCs/>
          <w:iCs/>
        </w:rPr>
        <w:br/>
        <w:t>Указанное Положение устанавливает виды премирования, показатели премирования (КПЭ), порядок и методику расчета премий, условия премирования, порядок выплаты премий. Премирование Руководителей за результаты выполнения ключевых показателей эффективности зависит от степени выполнения определенных Положением ключевых показателей эффективности (далее - КПЭ) за отчетные периоды (квартал и год). КПЭ Руководителям определяются исходя из функциональных и должностных обязанностей и ответственности, и связаны с результатами деятельности Общества в целом в отчетные периоды (квартал и год).</w:t>
      </w:r>
      <w:r>
        <w:rPr>
          <w:rStyle w:val="Subst"/>
          <w:bCs/>
          <w:iCs/>
        </w:rPr>
        <w:br/>
        <w:t>Вознаграждение единоличного исполнительного органа определяется как фиксированная сумма (ежемесячный оклад) в соответствии с трудовым договором. Система материального стимулирования (премирования) Генерального директора Общества устанавливает зависимость размера вознаграждения Генерального директора от степени выполнения утвержденных Советом директоров Общества ключевых показателей эффективности за отчетные периоды (квартал и год). Квартальные и годовые КПЭ устанавливаются Обществу Советом директоров Общества в составе бизнес-плана на соответствующий отчетный период.</w:t>
      </w:r>
      <w:r>
        <w:rPr>
          <w:rStyle w:val="Subst"/>
          <w:bCs/>
          <w:iCs/>
        </w:rPr>
        <w:br/>
        <w:t xml:space="preserve">Критерии определения и размер вознаграждения Генерального директора определены в Положении о материальном стимулировании Генерального директора Общества в новой редакции, утвержденном Советом директоров Общества 18.11.2021 г. (Протокол №251 от </w:t>
      </w:r>
      <w:r>
        <w:rPr>
          <w:rStyle w:val="Subst"/>
          <w:bCs/>
          <w:iCs/>
        </w:rPr>
        <w:lastRenderedPageBreak/>
        <w:t>18.11.2021 г.), с изменениями, утвержденными Советом директоров 24.09.2024 г. (Протокол №293 от 24.09.2024 г.)</w:t>
      </w:r>
      <w:r>
        <w:rPr>
          <w:rStyle w:val="Subst"/>
          <w:bCs/>
          <w:iCs/>
        </w:rPr>
        <w:br/>
        <w:t>В ПАО «Мордовская энергосбытовая компания» действует также Положение об оплате и материальном стимулировании труда работников ПАО «Мордовская энергосбытовая компания».</w:t>
      </w:r>
    </w:p>
    <w:p w:rsidR="0076611B" w:rsidRDefault="0076611B" w:rsidP="00E223A1">
      <w:pPr>
        <w:pStyle w:val="SubHeading"/>
        <w:ind w:left="200"/>
        <w:jc w:val="both"/>
      </w:pPr>
      <w:r>
        <w:t>Вознаграждения</w:t>
      </w:r>
    </w:p>
    <w:p w:rsidR="0076611B" w:rsidRDefault="0076611B" w:rsidP="00E223A1">
      <w:pPr>
        <w:pStyle w:val="SubHeading"/>
        <w:ind w:left="400"/>
        <w:jc w:val="both"/>
      </w:pPr>
      <w:r>
        <w:t>Совет директоров</w:t>
      </w:r>
    </w:p>
    <w:p w:rsidR="0076611B" w:rsidRDefault="0076611B" w:rsidP="00E223A1">
      <w:pPr>
        <w:ind w:left="600"/>
        <w:jc w:val="both"/>
      </w:pPr>
      <w:r>
        <w:t>Единица измерения:</w:t>
      </w:r>
      <w:r>
        <w:rPr>
          <w:rStyle w:val="Subst"/>
          <w:bCs/>
          <w:iCs/>
        </w:rPr>
        <w:t xml:space="preserve"> тыс. руб.</w:t>
      </w:r>
    </w:p>
    <w:p w:rsidR="0076611B" w:rsidRDefault="0076611B" w:rsidP="00E223A1">
      <w:pPr>
        <w:pStyle w:val="ThinDelim"/>
        <w:jc w:val="both"/>
      </w:pPr>
    </w:p>
    <w:tbl>
      <w:tblPr>
        <w:tblW w:w="8789" w:type="dxa"/>
        <w:tblInd w:w="356" w:type="dxa"/>
        <w:tblLayout w:type="fixed"/>
        <w:tblCellMar>
          <w:left w:w="72" w:type="dxa"/>
          <w:right w:w="72" w:type="dxa"/>
        </w:tblCellMar>
        <w:tblLook w:val="0000" w:firstRow="0" w:lastRow="0" w:firstColumn="0" w:lastColumn="0" w:noHBand="0" w:noVBand="0"/>
      </w:tblPr>
      <w:tblGrid>
        <w:gridCol w:w="6492"/>
        <w:gridCol w:w="2297"/>
      </w:tblGrid>
      <w:tr w:rsidR="0076611B" w:rsidTr="00196329">
        <w:tc>
          <w:tcPr>
            <w:tcW w:w="6492"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Наименование показателя</w:t>
            </w:r>
          </w:p>
        </w:tc>
        <w:tc>
          <w:tcPr>
            <w:tcW w:w="2297"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2024, 12 мес.</w:t>
            </w:r>
          </w:p>
        </w:tc>
      </w:tr>
      <w:tr w:rsidR="0076611B" w:rsidTr="00196329">
        <w:tc>
          <w:tcPr>
            <w:tcW w:w="64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Вознаграждение за участие в работе органа управления</w:t>
            </w:r>
          </w:p>
        </w:tc>
        <w:tc>
          <w:tcPr>
            <w:tcW w:w="2297"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7 643.7</w:t>
            </w:r>
          </w:p>
        </w:tc>
      </w:tr>
      <w:tr w:rsidR="0076611B" w:rsidTr="00196329">
        <w:tc>
          <w:tcPr>
            <w:tcW w:w="64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Заработная плата</w:t>
            </w:r>
          </w:p>
        </w:tc>
        <w:tc>
          <w:tcPr>
            <w:tcW w:w="2297"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8 091.8</w:t>
            </w:r>
          </w:p>
        </w:tc>
      </w:tr>
      <w:tr w:rsidR="0076611B" w:rsidTr="00196329">
        <w:tc>
          <w:tcPr>
            <w:tcW w:w="64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Премии</w:t>
            </w:r>
          </w:p>
        </w:tc>
        <w:tc>
          <w:tcPr>
            <w:tcW w:w="2297"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17 946</w:t>
            </w:r>
          </w:p>
        </w:tc>
      </w:tr>
      <w:tr w:rsidR="0076611B" w:rsidTr="00196329">
        <w:tc>
          <w:tcPr>
            <w:tcW w:w="64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Комиссионные</w:t>
            </w:r>
          </w:p>
        </w:tc>
        <w:tc>
          <w:tcPr>
            <w:tcW w:w="2297"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0</w:t>
            </w:r>
          </w:p>
        </w:tc>
      </w:tr>
      <w:tr w:rsidR="0076611B" w:rsidTr="00196329">
        <w:tc>
          <w:tcPr>
            <w:tcW w:w="64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Иные виды вознаграждений</w:t>
            </w:r>
          </w:p>
        </w:tc>
        <w:tc>
          <w:tcPr>
            <w:tcW w:w="2297"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3 786.2</w:t>
            </w:r>
          </w:p>
        </w:tc>
      </w:tr>
      <w:tr w:rsidR="0076611B" w:rsidTr="00196329">
        <w:tc>
          <w:tcPr>
            <w:tcW w:w="649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ИТОГО</w:t>
            </w:r>
          </w:p>
        </w:tc>
        <w:tc>
          <w:tcPr>
            <w:tcW w:w="2297"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37 467.7</w:t>
            </w:r>
          </w:p>
        </w:tc>
      </w:tr>
    </w:tbl>
    <w:p w:rsidR="0076611B" w:rsidRDefault="0076611B" w:rsidP="00E223A1">
      <w:pPr>
        <w:pStyle w:val="SubHeading"/>
        <w:ind w:left="200"/>
        <w:jc w:val="both"/>
      </w:pPr>
      <w:r>
        <w:t>Компенсации</w:t>
      </w:r>
    </w:p>
    <w:p w:rsidR="0076611B" w:rsidRDefault="0076611B" w:rsidP="00E223A1">
      <w:pPr>
        <w:ind w:left="400"/>
        <w:jc w:val="both"/>
      </w:pPr>
      <w:r>
        <w:t>Единица измерения:</w:t>
      </w:r>
      <w:r>
        <w:rPr>
          <w:rStyle w:val="Subst"/>
          <w:bCs/>
          <w:iCs/>
        </w:rPr>
        <w:t xml:space="preserve"> тыс. руб.</w:t>
      </w:r>
    </w:p>
    <w:p w:rsidR="0076611B" w:rsidRDefault="0076611B" w:rsidP="00E223A1">
      <w:pPr>
        <w:pStyle w:val="ThinDelim"/>
        <w:jc w:val="both"/>
      </w:pPr>
    </w:p>
    <w:tbl>
      <w:tblPr>
        <w:tblW w:w="8789" w:type="dxa"/>
        <w:tblInd w:w="356" w:type="dxa"/>
        <w:tblLayout w:type="fixed"/>
        <w:tblCellMar>
          <w:left w:w="72" w:type="dxa"/>
          <w:right w:w="72" w:type="dxa"/>
        </w:tblCellMar>
        <w:tblLook w:val="0000" w:firstRow="0" w:lastRow="0" w:firstColumn="0" w:lastColumn="0" w:noHBand="0" w:noVBand="0"/>
      </w:tblPr>
      <w:tblGrid>
        <w:gridCol w:w="6492"/>
        <w:gridCol w:w="2297"/>
      </w:tblGrid>
      <w:tr w:rsidR="0076611B" w:rsidTr="00196329">
        <w:tc>
          <w:tcPr>
            <w:tcW w:w="6492"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Наименование органа управления</w:t>
            </w:r>
          </w:p>
        </w:tc>
        <w:tc>
          <w:tcPr>
            <w:tcW w:w="2297"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2024, 12 мес.</w:t>
            </w:r>
          </w:p>
        </w:tc>
      </w:tr>
      <w:tr w:rsidR="0076611B" w:rsidTr="00196329">
        <w:tc>
          <w:tcPr>
            <w:tcW w:w="649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Совет директоров (наблюдательный совет)</w:t>
            </w:r>
          </w:p>
        </w:tc>
        <w:tc>
          <w:tcPr>
            <w:tcW w:w="2297"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0</w:t>
            </w:r>
          </w:p>
        </w:tc>
      </w:tr>
      <w:tr w:rsidR="0076611B" w:rsidTr="00196329">
        <w:tc>
          <w:tcPr>
            <w:tcW w:w="649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Совет директоров</w:t>
            </w:r>
          </w:p>
        </w:tc>
        <w:tc>
          <w:tcPr>
            <w:tcW w:w="2297"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0</w:t>
            </w:r>
          </w:p>
        </w:tc>
      </w:tr>
    </w:tbl>
    <w:p w:rsidR="0076611B" w:rsidRDefault="0076611B" w:rsidP="00E223A1">
      <w:pPr>
        <w:jc w:val="both"/>
      </w:pPr>
    </w:p>
    <w:p w:rsidR="0076611B" w:rsidRDefault="0076611B" w:rsidP="00196329">
      <w:pPr>
        <w:ind w:left="142"/>
        <w:jc w:val="both"/>
      </w:pPr>
      <w:r>
        <w:rPr>
          <w:rStyle w:val="Subst"/>
          <w:bCs/>
          <w:iCs/>
        </w:rPr>
        <w:t>Членам Совета директоров Общества за осуществление ими соответствующих функций, в том числе в случае направления их в командировку для посещения объектов Общества, встреч с акционерами и инвесторами, участия в Общих собраниях акционеров Общества, а также выполнения иных задач, связанных с выполнением функций члена Совета директоров Общества, компенсируются фактически понесенные ими расходы по проезду к месту командировки и обратно к месту постоянной работы либо проживания, а также расходы по найму жилого помещения, питанию и т.д. при их документальном подтверждении.</w:t>
      </w:r>
      <w:r>
        <w:rPr>
          <w:rStyle w:val="Subst"/>
          <w:bCs/>
          <w:iCs/>
        </w:rPr>
        <w:br/>
        <w:t>За 2024 г. Общество не осуществляло компенсаций расходов, связанных с выполнением функций члена Совета директоров Общества.</w:t>
      </w:r>
    </w:p>
    <w:p w:rsidR="0076611B" w:rsidRDefault="0076611B" w:rsidP="00E223A1">
      <w:pPr>
        <w:ind w:left="200"/>
        <w:jc w:val="both"/>
      </w:pPr>
      <w:r>
        <w:rPr>
          <w:rStyle w:val="Subst"/>
          <w:bCs/>
          <w:iCs/>
        </w:rPr>
        <w:t>не имеется</w:t>
      </w:r>
    </w:p>
    <w:p w:rsidR="0076611B" w:rsidRDefault="0076611B" w:rsidP="00E223A1">
      <w:pPr>
        <w:pStyle w:val="2"/>
        <w:jc w:val="both"/>
      </w:pPr>
      <w:bookmarkStart w:id="38" w:name="_Toc196398479"/>
      <w: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38"/>
    </w:p>
    <w:p w:rsidR="0076611B" w:rsidRDefault="0076611B" w:rsidP="00E223A1">
      <w:pPr>
        <w:ind w:left="200"/>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6A2534" w:rsidRDefault="0076611B" w:rsidP="00E223A1">
      <w:pPr>
        <w:ind w:left="200"/>
        <w:jc w:val="both"/>
        <w:rPr>
          <w:rStyle w:val="Subst"/>
          <w:bCs/>
          <w:iCs/>
        </w:rPr>
      </w:pPr>
      <w: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br/>
      </w:r>
      <w:r>
        <w:rPr>
          <w:rStyle w:val="Subst"/>
          <w:bCs/>
          <w:iCs/>
        </w:rPr>
        <w:t xml:space="preserve">Деятельность ПАО «Мордовская энергосбытовая компания» связана с рядом рисков, которые при определенных обстоятельствах могут негативно повлиять на производственные и финансовые показатели Общества. Для управления рисками на уровне Общества ведется работа по выявлению, анализу и оценке рисков, разработка мероприятий по их устранению или снижению.  В соответствии с Политикой управления рисками и внутреннего контроля ПАО «Мордовская энергосбытовая компания» (утв. решением Совета директоров, Протокол № 253 от 24.12.2021 г.) в Обществе утверждается реестр рисков и план мероприятий по их управлению. В Обществе назначены ответственные лица (владельцы рисков) за организацию процесса управления рисками.  </w:t>
      </w:r>
      <w:r>
        <w:rPr>
          <w:rStyle w:val="Subst"/>
          <w:bCs/>
          <w:iCs/>
        </w:rPr>
        <w:br/>
        <w:t xml:space="preserve">Функционирование </w:t>
      </w:r>
      <w:proofErr w:type="spellStart"/>
      <w:r>
        <w:rPr>
          <w:rStyle w:val="Subst"/>
          <w:bCs/>
          <w:iCs/>
        </w:rPr>
        <w:t>СУРиВК</w:t>
      </w:r>
      <w:proofErr w:type="spellEnd"/>
      <w:r>
        <w:rPr>
          <w:rStyle w:val="Subst"/>
          <w:bCs/>
          <w:iCs/>
        </w:rPr>
        <w:t xml:space="preserve"> реализовано на всех уровнях управления, охватывает все бизнес-</w:t>
      </w:r>
      <w:r>
        <w:rPr>
          <w:rStyle w:val="Subst"/>
          <w:bCs/>
          <w:iCs/>
        </w:rPr>
        <w:lastRenderedPageBreak/>
        <w:t>процессы, структурные и обособленные подразделения Общества.</w:t>
      </w:r>
      <w:r>
        <w:rPr>
          <w:rStyle w:val="Subst"/>
          <w:bCs/>
          <w:iCs/>
        </w:rPr>
        <w:br/>
        <w:t>Решением Совета директоров ПАО "Мордовская энергосбытовая компания" от 05.03.2021 г. (Протокол №241 от 05.03.2021 г.) назначено должностное лицо, ответственное за организацию и осуществление внутреннего аудита и утверждена Политика внутреннего аудита Публичного акционерного общества "Мордовская энергосбытовая компания". В соответствии с Политикой внутреннего аудита ПАО "Мордовская энергосбытовая компания", внутренний аудит осуществляется в целях содействия в повышении эффективности управления Обществом и совершенствовании его финансово-хозяйственной деятельности.</w:t>
      </w:r>
      <w:r>
        <w:rPr>
          <w:rStyle w:val="Subst"/>
          <w:bCs/>
          <w:iCs/>
        </w:rPr>
        <w:br/>
        <w:t>Решением Совета директоров ПАО "Мордовская энергосбытовая компания" от 22.02.2023 г. (Протокол № 269 от 22.02.2023 г.) утверждены в новой редакции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Публичного акционерного общества "Мордовская энергосбытовая компания". Внутренний контроль по предотвращению, выявлению и пресечению неправомерного использования инсайдерской информации и (или) манипулирования рынком (далее - ВК по ПНИИИМР) осуществляется в целях контроля за соблюдением:</w:t>
      </w:r>
      <w:r>
        <w:rPr>
          <w:rStyle w:val="Subst"/>
          <w:bCs/>
          <w:iCs/>
        </w:rPr>
        <w:br/>
        <w:t>- требований Федерального закона от 27 июля 2010 года №224-ФЗ и принятых в соответствии с ним нормативных актов;</w:t>
      </w:r>
      <w:r>
        <w:rPr>
          <w:rStyle w:val="Subst"/>
          <w:bCs/>
          <w:iCs/>
        </w:rPr>
        <w:br/>
        <w:t>- порядка и сроков раскрытия инсайдерской информации (отдельных видов инсайдерской информации) Общества, утвержденных в соответствии со статьей 8 Федерального закона от 27 июля 2010 года №224-ФЗ Советом директоров Общества;</w:t>
      </w:r>
      <w:r>
        <w:rPr>
          <w:rStyle w:val="Subst"/>
          <w:bCs/>
          <w:iCs/>
        </w:rPr>
        <w:br/>
        <w:t>- Порядка доступа к инсайдерской информации, Правил охраны ее конфиденциальности и контроля за соблюдением требований Федерального закона от 27 июля 2010 года №224-ФЗ и принятых в соответствии с ним нормативных актов;</w:t>
      </w:r>
      <w:r>
        <w:rPr>
          <w:rStyle w:val="Subst"/>
          <w:bCs/>
          <w:iCs/>
        </w:rPr>
        <w:br/>
        <w:t>- Правил внутреннего контроля в области противодействия НИИИМР.</w:t>
      </w:r>
      <w:r>
        <w:rPr>
          <w:rStyle w:val="Subst"/>
          <w:bCs/>
          <w:iCs/>
        </w:rPr>
        <w:br/>
        <w:t>Адреса страниц в сети Интернет, на которых в свободном доступе размещен полный текст указанных внутренних документов:</w:t>
      </w:r>
    </w:p>
    <w:p w:rsidR="006A2534" w:rsidRDefault="008D47EC" w:rsidP="00E223A1">
      <w:pPr>
        <w:ind w:left="200"/>
        <w:jc w:val="both"/>
        <w:rPr>
          <w:rStyle w:val="Subst"/>
          <w:bCs/>
          <w:iCs/>
        </w:rPr>
      </w:pPr>
      <w:hyperlink r:id="rId13" w:history="1">
        <w:r w:rsidR="00986DC2" w:rsidRPr="00713C62">
          <w:rPr>
            <w:rStyle w:val="a5"/>
          </w:rPr>
          <w:t>www.mesk.ru/raskrytie_informacyi/raskrytie_informatsii_emitentom/doc-166.php</w:t>
        </w:r>
      </w:hyperlink>
      <w:r w:rsidR="00986DC2">
        <w:rPr>
          <w:rStyle w:val="Subst"/>
          <w:bCs/>
          <w:iCs/>
        </w:rPr>
        <w:t xml:space="preserve"> </w:t>
      </w:r>
      <w:r w:rsidR="0076611B">
        <w:rPr>
          <w:rStyle w:val="Subst"/>
          <w:bCs/>
          <w:iCs/>
        </w:rPr>
        <w:t xml:space="preserve"> </w:t>
      </w:r>
    </w:p>
    <w:p w:rsidR="006A2534" w:rsidRDefault="0076611B" w:rsidP="00E223A1">
      <w:pPr>
        <w:ind w:left="200"/>
        <w:jc w:val="both"/>
        <w:rPr>
          <w:rStyle w:val="Subst"/>
          <w:bCs/>
          <w:iCs/>
        </w:rPr>
      </w:pPr>
      <w:r>
        <w:rPr>
          <w:rStyle w:val="Subst"/>
          <w:bCs/>
          <w:iCs/>
        </w:rPr>
        <w:t>и</w:t>
      </w:r>
    </w:p>
    <w:p w:rsidR="0076611B" w:rsidRDefault="008D47EC" w:rsidP="00E223A1">
      <w:pPr>
        <w:ind w:left="200"/>
        <w:jc w:val="both"/>
      </w:pPr>
      <w:hyperlink r:id="rId14" w:history="1">
        <w:r w:rsidR="00986DC2" w:rsidRPr="00713C62">
          <w:rPr>
            <w:rStyle w:val="a5"/>
          </w:rPr>
          <w:t>https://e-disclosure.ru/portal/company.aspx?id=5754</w:t>
        </w:r>
      </w:hyperlink>
      <w:r w:rsidR="00986DC2">
        <w:rPr>
          <w:rStyle w:val="Subst"/>
          <w:bCs/>
          <w:iCs/>
        </w:rPr>
        <w:t xml:space="preserve"> </w:t>
      </w:r>
      <w:r w:rsidR="0076611B">
        <w:rPr>
          <w:rStyle w:val="Subst"/>
          <w:bCs/>
          <w:iCs/>
        </w:rPr>
        <w:t>.</w:t>
      </w:r>
      <w:r w:rsidR="0076611B">
        <w:rPr>
          <w:rStyle w:val="Subst"/>
          <w:bCs/>
          <w:iCs/>
        </w:rPr>
        <w:br/>
        <w:t>Наличие Ревизионной комиссии в Обществе не предусмотрено.</w:t>
      </w:r>
      <w:r w:rsidR="0076611B">
        <w:rPr>
          <w:rStyle w:val="Subst"/>
          <w:bCs/>
          <w:iCs/>
        </w:rPr>
        <w:br/>
        <w:t>Ниже дается подробное описание задач и функций лиц, на которых возложены обязанности по управлению рисками, внутреннему контролю и внутреннему аудиту, а также сведения о политике Общества в области управления рисками, внутреннего контроля и внутреннего аудита.</w:t>
      </w:r>
    </w:p>
    <w:p w:rsidR="0076611B" w:rsidRDefault="0076611B" w:rsidP="00E223A1">
      <w:pPr>
        <w:ind w:left="200"/>
        <w:jc w:val="both"/>
      </w:pPr>
      <w:r>
        <w:rPr>
          <w:rStyle w:val="Subst"/>
          <w:bCs/>
          <w:iCs/>
        </w:rPr>
        <w:t>В обществе образован комитет по аудиту совета директоров (наблюдательного совета)</w:t>
      </w:r>
    </w:p>
    <w:p w:rsidR="00584BAE" w:rsidRPr="00584BAE" w:rsidRDefault="0076611B" w:rsidP="00584BAE">
      <w:pPr>
        <w:ind w:left="200"/>
        <w:jc w:val="both"/>
        <w:rPr>
          <w:rStyle w:val="Subst"/>
          <w:bCs/>
          <w:iCs/>
        </w:rPr>
      </w:pPr>
      <w:r>
        <w:t>Основные функции комитета по аудиту совета директоров (наблюдательного совета):</w:t>
      </w:r>
      <w:r>
        <w:br/>
      </w:r>
      <w:r>
        <w:rPr>
          <w:rStyle w:val="Subst"/>
          <w:bCs/>
          <w:iCs/>
        </w:rPr>
        <w:t>В соответствии с Положением о Комитете по аудиту Совета директоров Публичного акционерного общества "Мордовская энергосбытовая компания" (утверждено решением Совета директоров ПАО "Мордовская энергосбытовая компания" от 05.03.2021 г., Протокол №241) к осно</w:t>
      </w:r>
      <w:r w:rsidR="003A54E6">
        <w:rPr>
          <w:rStyle w:val="Subst"/>
          <w:bCs/>
          <w:iCs/>
        </w:rPr>
        <w:t xml:space="preserve">вным функциям относятся:  </w:t>
      </w:r>
      <w:r w:rsidR="003A54E6">
        <w:rPr>
          <w:rStyle w:val="Subst"/>
          <w:bCs/>
          <w:iCs/>
        </w:rPr>
        <w:br/>
      </w:r>
      <w:r w:rsidR="00584BAE" w:rsidRPr="00584BAE">
        <w:rPr>
          <w:rStyle w:val="Subst"/>
          <w:bCs/>
          <w:iCs/>
        </w:rPr>
        <w:t>В области бухгалтерской (финансовой) отчетности и консолидированной финансовой отчетности:</w:t>
      </w:r>
    </w:p>
    <w:p w:rsidR="00584BAE" w:rsidRPr="00584BAE" w:rsidRDefault="00584BAE" w:rsidP="00584BAE">
      <w:pPr>
        <w:ind w:left="200"/>
        <w:jc w:val="both"/>
        <w:rPr>
          <w:rStyle w:val="Subst"/>
          <w:bCs/>
          <w:iCs/>
        </w:rPr>
      </w:pPr>
      <w:r w:rsidRPr="00584BAE">
        <w:rPr>
          <w:rStyle w:val="Subst"/>
          <w:bCs/>
          <w:iCs/>
        </w:rPr>
        <w:t>- контроль за обеспечением полноты, точности и достоверности бухгалтерской (финансовой) отчетности и консолидированной финансовой отчетности Общества;</w:t>
      </w:r>
    </w:p>
    <w:p w:rsidR="00584BAE" w:rsidRPr="00584BAE" w:rsidRDefault="00584BAE" w:rsidP="00584BAE">
      <w:pPr>
        <w:ind w:left="200"/>
        <w:jc w:val="both"/>
        <w:rPr>
          <w:rStyle w:val="Subst"/>
          <w:bCs/>
          <w:iCs/>
        </w:rPr>
      </w:pPr>
      <w:r w:rsidRPr="00584BAE">
        <w:rPr>
          <w:rStyle w:val="Subst"/>
          <w:bCs/>
          <w:iCs/>
        </w:rPr>
        <w:t>- анализ существенных аспектов учетной политики Общества;</w:t>
      </w:r>
    </w:p>
    <w:p w:rsidR="00584BAE" w:rsidRPr="00584BAE" w:rsidRDefault="00584BAE" w:rsidP="00584BAE">
      <w:pPr>
        <w:ind w:left="200"/>
        <w:jc w:val="both"/>
        <w:rPr>
          <w:rStyle w:val="Subst"/>
          <w:bCs/>
          <w:iCs/>
        </w:rPr>
      </w:pPr>
      <w:r w:rsidRPr="00584BAE">
        <w:rPr>
          <w:rStyle w:val="Subst"/>
          <w:bCs/>
          <w:iCs/>
        </w:rPr>
        <w:t>- участие в рассмотрении существенных вопросов и суждений в отношении бухгалтерской (финансовой) отчетности и консолидированной финансовой отчетности Общества.</w:t>
      </w:r>
    </w:p>
    <w:p w:rsidR="00584BAE" w:rsidRPr="00584BAE" w:rsidRDefault="00584BAE" w:rsidP="00584BAE">
      <w:pPr>
        <w:ind w:left="200"/>
        <w:jc w:val="both"/>
        <w:rPr>
          <w:rStyle w:val="Subst"/>
          <w:bCs/>
          <w:iCs/>
        </w:rPr>
      </w:pPr>
      <w:r w:rsidRPr="00584BAE">
        <w:rPr>
          <w:rStyle w:val="Subst"/>
          <w:bCs/>
          <w:iCs/>
        </w:rPr>
        <w:t>В области управления рисками, внутреннего контроля и в области корпоративного управления:</w:t>
      </w:r>
    </w:p>
    <w:p w:rsidR="00584BAE" w:rsidRPr="00584BAE" w:rsidRDefault="00584BAE" w:rsidP="00584BAE">
      <w:pPr>
        <w:ind w:left="200"/>
        <w:jc w:val="both"/>
        <w:rPr>
          <w:rStyle w:val="Subst"/>
          <w:bCs/>
          <w:iCs/>
        </w:rPr>
      </w:pPr>
      <w:r w:rsidRPr="00584BAE">
        <w:rPr>
          <w:rStyle w:val="Subst"/>
          <w:bCs/>
          <w:iCs/>
        </w:rPr>
        <w:t>- контроль за надежностью и эффективностью системы управления рисками и внутреннего контроля, и системы корпоративного управления, включая оценку эффективности процедур управления рисками и внутреннего контроля Общества, практики корпоративного управления, и подготовка предложений по их совершенствованию;</w:t>
      </w:r>
    </w:p>
    <w:p w:rsidR="00584BAE" w:rsidRPr="00584BAE" w:rsidRDefault="00584BAE" w:rsidP="00584BAE">
      <w:pPr>
        <w:ind w:left="200"/>
        <w:jc w:val="both"/>
        <w:rPr>
          <w:rStyle w:val="Subst"/>
          <w:bCs/>
          <w:iCs/>
        </w:rPr>
      </w:pPr>
      <w:r w:rsidRPr="00584BAE">
        <w:rPr>
          <w:rStyle w:val="Subst"/>
          <w:bCs/>
          <w:iCs/>
        </w:rPr>
        <w:t>- анализ и оценка исполнения политики Общества в области управления рисками и внутреннего контроля;</w:t>
      </w:r>
    </w:p>
    <w:p w:rsidR="00584BAE" w:rsidRPr="00584BAE" w:rsidRDefault="00584BAE" w:rsidP="00584BAE">
      <w:pPr>
        <w:ind w:left="200"/>
        <w:jc w:val="both"/>
        <w:rPr>
          <w:rStyle w:val="Subst"/>
          <w:bCs/>
          <w:iCs/>
        </w:rPr>
      </w:pPr>
      <w:r w:rsidRPr="00584BAE">
        <w:rPr>
          <w:rStyle w:val="Subst"/>
          <w:bCs/>
          <w:iCs/>
        </w:rPr>
        <w:t>- контроль процедур, обеспечивающих соблюдение Обществом требований законодательства Российской Федерации, а также этических норм, правил и процедур Общества, требований бирж;</w:t>
      </w:r>
    </w:p>
    <w:p w:rsidR="00584BAE" w:rsidRPr="00584BAE" w:rsidRDefault="00584BAE" w:rsidP="00584BAE">
      <w:pPr>
        <w:ind w:left="200"/>
        <w:jc w:val="both"/>
        <w:rPr>
          <w:rStyle w:val="Subst"/>
          <w:bCs/>
          <w:iCs/>
        </w:rPr>
      </w:pPr>
      <w:r w:rsidRPr="00584BAE">
        <w:rPr>
          <w:rStyle w:val="Subst"/>
          <w:bCs/>
          <w:iCs/>
        </w:rPr>
        <w:t>- анализ и оценка исполнения политики Общества по управлению конфликтом интересов.</w:t>
      </w:r>
    </w:p>
    <w:p w:rsidR="00584BAE" w:rsidRPr="00584BAE" w:rsidRDefault="00584BAE" w:rsidP="00584BAE">
      <w:pPr>
        <w:ind w:left="200"/>
        <w:jc w:val="both"/>
        <w:rPr>
          <w:rStyle w:val="Subst"/>
          <w:bCs/>
          <w:iCs/>
        </w:rPr>
      </w:pPr>
      <w:r w:rsidRPr="00584BAE">
        <w:rPr>
          <w:rStyle w:val="Subst"/>
          <w:bCs/>
          <w:iCs/>
        </w:rPr>
        <w:t>В области проведения внутреннего и внешнего аудита:</w:t>
      </w:r>
    </w:p>
    <w:p w:rsidR="00584BAE" w:rsidRPr="00584BAE" w:rsidRDefault="00584BAE" w:rsidP="00584BAE">
      <w:pPr>
        <w:ind w:left="200"/>
        <w:jc w:val="both"/>
        <w:rPr>
          <w:rStyle w:val="Subst"/>
          <w:bCs/>
          <w:iCs/>
        </w:rPr>
      </w:pPr>
      <w:r w:rsidRPr="00584BAE">
        <w:rPr>
          <w:rStyle w:val="Subst"/>
          <w:bCs/>
          <w:iCs/>
        </w:rPr>
        <w:lastRenderedPageBreak/>
        <w:t>- обеспечение независимости и объективности осуществления функции внутреннего аудита;</w:t>
      </w:r>
    </w:p>
    <w:p w:rsidR="00584BAE" w:rsidRPr="00584BAE" w:rsidRDefault="00584BAE" w:rsidP="00584BAE">
      <w:pPr>
        <w:ind w:left="200"/>
        <w:jc w:val="both"/>
        <w:rPr>
          <w:rStyle w:val="Subst"/>
          <w:bCs/>
          <w:iCs/>
        </w:rPr>
      </w:pPr>
      <w:r w:rsidRPr="00584BAE">
        <w:rPr>
          <w:rStyle w:val="Subst"/>
          <w:bCs/>
          <w:iCs/>
        </w:rPr>
        <w:t>- рассмотрение политики Общества в области внутреннего аудита (положения о внутреннем аудите);</w:t>
      </w:r>
    </w:p>
    <w:p w:rsidR="00584BAE" w:rsidRPr="00584BAE" w:rsidRDefault="00584BAE" w:rsidP="00584BAE">
      <w:pPr>
        <w:ind w:left="200"/>
        <w:jc w:val="both"/>
        <w:rPr>
          <w:rStyle w:val="Subst"/>
          <w:bCs/>
          <w:iCs/>
        </w:rPr>
      </w:pPr>
      <w:r w:rsidRPr="00584BAE">
        <w:rPr>
          <w:rStyle w:val="Subst"/>
          <w:bCs/>
          <w:iCs/>
        </w:rPr>
        <w:t>- рассмотрение вопроса о необходимости создания отдельного структурного подразделения (Службы) внутреннего аудита (в случае его отсутствия в Обществе) и предоставление результатов рассмотрения Совету директоров Общества;</w:t>
      </w:r>
    </w:p>
    <w:p w:rsidR="00584BAE" w:rsidRPr="00584BAE" w:rsidRDefault="00584BAE" w:rsidP="00584BAE">
      <w:pPr>
        <w:ind w:left="200"/>
        <w:jc w:val="both"/>
        <w:rPr>
          <w:rStyle w:val="Subst"/>
          <w:bCs/>
          <w:iCs/>
        </w:rPr>
      </w:pPr>
      <w:r w:rsidRPr="00584BAE">
        <w:rPr>
          <w:rStyle w:val="Subst"/>
          <w:bCs/>
          <w:iCs/>
        </w:rPr>
        <w:t>- рассмотрение плана деятельности и бюджета внутреннего аудитора;</w:t>
      </w:r>
    </w:p>
    <w:p w:rsidR="00584BAE" w:rsidRPr="00584BAE" w:rsidRDefault="00584BAE" w:rsidP="00584BAE">
      <w:pPr>
        <w:ind w:left="200"/>
        <w:jc w:val="both"/>
        <w:rPr>
          <w:rStyle w:val="Subst"/>
          <w:bCs/>
          <w:iCs/>
        </w:rPr>
      </w:pPr>
      <w:r w:rsidRPr="00584BAE">
        <w:rPr>
          <w:rStyle w:val="Subst"/>
          <w:bCs/>
          <w:iCs/>
        </w:rPr>
        <w:t>-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rsidR="00584BAE" w:rsidRPr="00584BAE" w:rsidRDefault="00584BAE" w:rsidP="00584BAE">
      <w:pPr>
        <w:ind w:left="200"/>
        <w:jc w:val="both"/>
        <w:rPr>
          <w:rStyle w:val="Subst"/>
          <w:bCs/>
          <w:iCs/>
        </w:rPr>
      </w:pPr>
      <w:r w:rsidRPr="00584BAE">
        <w:rPr>
          <w:rStyle w:val="Subst"/>
          <w:bCs/>
          <w:iCs/>
        </w:rPr>
        <w:t>- анализ и оценка эффективности осуществления функции внутреннего аудита;</w:t>
      </w:r>
    </w:p>
    <w:p w:rsidR="00584BAE" w:rsidRPr="00584BAE" w:rsidRDefault="00584BAE" w:rsidP="00584BAE">
      <w:pPr>
        <w:ind w:left="200"/>
        <w:jc w:val="both"/>
        <w:rPr>
          <w:rStyle w:val="Subst"/>
          <w:bCs/>
          <w:iCs/>
        </w:rPr>
      </w:pPr>
      <w:r w:rsidRPr="00584BAE">
        <w:rPr>
          <w:rStyle w:val="Subst"/>
          <w:bCs/>
          <w:iCs/>
        </w:rPr>
        <w:t>- оценка независимости, объективности и отсутствия конфликта интересов внешних аудиторов Общества, включая оценку кандидатов в аудиторы Общества, выработку предложений по утверждению и отстранению внешних аудиторов Общества, по оплате их услуг и условиям их привлечения;</w:t>
      </w:r>
    </w:p>
    <w:p w:rsidR="00584BAE" w:rsidRPr="00584BAE" w:rsidRDefault="00584BAE" w:rsidP="00584BAE">
      <w:pPr>
        <w:ind w:left="200"/>
        <w:jc w:val="both"/>
        <w:rPr>
          <w:rStyle w:val="Subst"/>
          <w:bCs/>
          <w:iCs/>
        </w:rPr>
      </w:pPr>
      <w:r w:rsidRPr="00584BAE">
        <w:rPr>
          <w:rStyle w:val="Subst"/>
          <w:bCs/>
          <w:iCs/>
        </w:rPr>
        <w:t>- надзор за проведением внешнего аудита и оценка качества выполнения аудиторской проверки и заключений аудиторов;</w:t>
      </w:r>
    </w:p>
    <w:p w:rsidR="00584BAE" w:rsidRPr="00584BAE" w:rsidRDefault="00584BAE" w:rsidP="00584BAE">
      <w:pPr>
        <w:ind w:left="200"/>
        <w:jc w:val="both"/>
        <w:rPr>
          <w:rStyle w:val="Subst"/>
          <w:bCs/>
          <w:iCs/>
        </w:rPr>
      </w:pPr>
      <w:r w:rsidRPr="00584BAE">
        <w:rPr>
          <w:rStyle w:val="Subst"/>
          <w:bCs/>
          <w:iCs/>
        </w:rPr>
        <w:t>- обеспечение эффективного взаимодействия между Службой внутреннего аудита и внешними аудиторами Общества;</w:t>
      </w:r>
    </w:p>
    <w:p w:rsidR="00584BAE" w:rsidRPr="00584BAE" w:rsidRDefault="00584BAE" w:rsidP="00584BAE">
      <w:pPr>
        <w:ind w:left="200"/>
        <w:jc w:val="both"/>
        <w:rPr>
          <w:rStyle w:val="Subst"/>
          <w:bCs/>
          <w:iCs/>
        </w:rPr>
      </w:pPr>
      <w:r w:rsidRPr="00584BAE">
        <w:rPr>
          <w:rStyle w:val="Subst"/>
          <w:bCs/>
          <w:iCs/>
        </w:rPr>
        <w:t>- разработка и контроль за исполнением политики Общества, определяющей принципы оказания Обществу аудиторских услуг и сопутствующих аудиту услуг.</w:t>
      </w:r>
    </w:p>
    <w:p w:rsidR="00584BAE" w:rsidRPr="00584BAE" w:rsidRDefault="00584BAE" w:rsidP="00584BAE">
      <w:pPr>
        <w:ind w:left="200"/>
        <w:jc w:val="both"/>
        <w:rPr>
          <w:rStyle w:val="Subst"/>
          <w:bCs/>
          <w:iCs/>
        </w:rPr>
      </w:pPr>
      <w:r w:rsidRPr="00584BAE">
        <w:rPr>
          <w:rStyle w:val="Subst"/>
          <w:bCs/>
          <w:iCs/>
        </w:rPr>
        <w:t>В области противодействия противоправным и (или) недобросовестным действиям работников Общества и третьих лиц:</w:t>
      </w:r>
    </w:p>
    <w:p w:rsidR="00584BAE" w:rsidRPr="00584BAE" w:rsidRDefault="00584BAE" w:rsidP="00584BAE">
      <w:pPr>
        <w:ind w:left="200"/>
        <w:jc w:val="both"/>
        <w:rPr>
          <w:rStyle w:val="Subst"/>
          <w:bCs/>
          <w:iCs/>
        </w:rPr>
      </w:pPr>
      <w:r w:rsidRPr="00584BAE">
        <w:rPr>
          <w:rStyle w:val="Subst"/>
          <w:bCs/>
          <w:iCs/>
        </w:rPr>
        <w:t>- оценка и контроль эффективности функционирования системы оповещения о потенциальных случаях недобросовестных действий работников Общества и третьих лиц, а также об иных нарушениях в Обществе;</w:t>
      </w:r>
    </w:p>
    <w:p w:rsidR="00584BAE" w:rsidRPr="00584BAE" w:rsidRDefault="00584BAE" w:rsidP="00584BAE">
      <w:pPr>
        <w:ind w:left="200"/>
        <w:jc w:val="both"/>
        <w:rPr>
          <w:rStyle w:val="Subst"/>
          <w:bCs/>
          <w:iCs/>
        </w:rPr>
      </w:pPr>
      <w:r w:rsidRPr="00584BAE">
        <w:rPr>
          <w:rStyle w:val="Subst"/>
          <w:bCs/>
          <w:iCs/>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584BAE" w:rsidRPr="00584BAE" w:rsidRDefault="00584BAE" w:rsidP="00584BAE">
      <w:pPr>
        <w:ind w:left="200"/>
        <w:jc w:val="both"/>
        <w:rPr>
          <w:rStyle w:val="Subst"/>
          <w:bCs/>
          <w:iCs/>
        </w:rPr>
      </w:pPr>
      <w:r w:rsidRPr="00584BAE">
        <w:rPr>
          <w:rStyle w:val="Subst"/>
          <w:bCs/>
          <w:iCs/>
        </w:rPr>
        <w:t>- контроль за реализацией мер, принятых исполнительными органами и иными ключевыми руководящими работниками Общества по фактам информирования о потенциальных случаях недобросовестных действий работников и иных нарушениях.</w:t>
      </w:r>
    </w:p>
    <w:p w:rsidR="00584BAE" w:rsidRDefault="00584BAE" w:rsidP="00584BAE">
      <w:pPr>
        <w:ind w:left="200"/>
        <w:jc w:val="both"/>
        <w:rPr>
          <w:rStyle w:val="Subst"/>
          <w:bCs/>
          <w:iCs/>
        </w:rPr>
      </w:pPr>
      <w:r w:rsidRPr="00584BAE">
        <w:rPr>
          <w:rStyle w:val="Subst"/>
          <w:bCs/>
          <w:iCs/>
        </w:rPr>
        <w:t>В компетенцию и обязанности Комитета входит также контроль за соблюдением информационной политики Общества.</w:t>
      </w:r>
    </w:p>
    <w:p w:rsidR="0076611B" w:rsidRDefault="0076611B" w:rsidP="00584BAE">
      <w:pPr>
        <w:ind w:left="200"/>
        <w:jc w:val="both"/>
      </w:pPr>
      <w:r>
        <w:t>Члены комитета по аудиту совета директоров (наблюдательного совета)</w:t>
      </w:r>
    </w:p>
    <w:p w:rsidR="0076611B" w:rsidRDefault="0076611B" w:rsidP="00E223A1">
      <w:pPr>
        <w:pStyle w:val="ThinDelim"/>
        <w:jc w:val="both"/>
      </w:pPr>
    </w:p>
    <w:tbl>
      <w:tblPr>
        <w:tblW w:w="8647" w:type="dxa"/>
        <w:tblInd w:w="356" w:type="dxa"/>
        <w:tblLayout w:type="fixed"/>
        <w:tblCellMar>
          <w:left w:w="72" w:type="dxa"/>
          <w:right w:w="72" w:type="dxa"/>
        </w:tblCellMar>
        <w:tblLook w:val="0000" w:firstRow="0" w:lastRow="0" w:firstColumn="0" w:lastColumn="0" w:noHBand="0" w:noVBand="0"/>
      </w:tblPr>
      <w:tblGrid>
        <w:gridCol w:w="7229"/>
        <w:gridCol w:w="1418"/>
      </w:tblGrid>
      <w:tr w:rsidR="0076611B" w:rsidTr="00D7370C">
        <w:tc>
          <w:tcPr>
            <w:tcW w:w="7229" w:type="dxa"/>
            <w:tcBorders>
              <w:top w:val="double" w:sz="6" w:space="0" w:color="auto"/>
              <w:left w:val="double" w:sz="6" w:space="0" w:color="auto"/>
              <w:bottom w:val="single" w:sz="6" w:space="0" w:color="auto"/>
              <w:right w:val="single" w:sz="6" w:space="0" w:color="auto"/>
            </w:tcBorders>
          </w:tcPr>
          <w:p w:rsidR="0076611B" w:rsidRDefault="0076611B" w:rsidP="00E223A1">
            <w:pPr>
              <w:jc w:val="both"/>
            </w:pPr>
            <w:r>
              <w:t>ФИО</w:t>
            </w:r>
          </w:p>
        </w:tc>
        <w:tc>
          <w:tcPr>
            <w:tcW w:w="1418"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Председатель</w:t>
            </w:r>
          </w:p>
        </w:tc>
      </w:tr>
      <w:tr w:rsidR="0076611B" w:rsidTr="00D7370C">
        <w:tc>
          <w:tcPr>
            <w:tcW w:w="7229"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proofErr w:type="spellStart"/>
            <w:r>
              <w:t>Подкопалова</w:t>
            </w:r>
            <w:proofErr w:type="spellEnd"/>
            <w:r>
              <w:t xml:space="preserve"> Галина Борисовна</w:t>
            </w:r>
          </w:p>
        </w:tc>
        <w:tc>
          <w:tcPr>
            <w:tcW w:w="1418"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Да</w:t>
            </w:r>
          </w:p>
        </w:tc>
      </w:tr>
      <w:tr w:rsidR="0076611B" w:rsidTr="00D7370C">
        <w:tc>
          <w:tcPr>
            <w:tcW w:w="7229"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Егорова Валерия Сергеевна</w:t>
            </w:r>
          </w:p>
        </w:tc>
        <w:tc>
          <w:tcPr>
            <w:tcW w:w="1418"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r>
              <w:t>Нет</w:t>
            </w:r>
          </w:p>
        </w:tc>
      </w:tr>
      <w:tr w:rsidR="0076611B" w:rsidTr="00D7370C">
        <w:tc>
          <w:tcPr>
            <w:tcW w:w="7229"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Ситникова Светлана Борисовна</w:t>
            </w:r>
          </w:p>
        </w:tc>
        <w:tc>
          <w:tcPr>
            <w:tcW w:w="1418"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Нет</w:t>
            </w:r>
          </w:p>
        </w:tc>
      </w:tr>
    </w:tbl>
    <w:p w:rsidR="0076611B" w:rsidRDefault="0076611B" w:rsidP="00E223A1">
      <w:pPr>
        <w:jc w:val="both"/>
      </w:pPr>
    </w:p>
    <w:p w:rsidR="00CA1BDC" w:rsidRPr="00CA1BDC" w:rsidRDefault="0076611B" w:rsidP="00CA1BDC">
      <w:pPr>
        <w:ind w:left="200"/>
        <w:jc w:val="both"/>
        <w:rPr>
          <w:rStyle w:val="Subst"/>
          <w:bCs/>
          <w:iCs/>
        </w:rPr>
      </w:pPr>
      <w: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br/>
      </w:r>
      <w:r>
        <w:rPr>
          <w:rStyle w:val="Subst"/>
          <w:bCs/>
          <w:iCs/>
        </w:rPr>
        <w:t xml:space="preserve">Отдельное структурное подразделение по внутреннему контролю в Обществе отсутствует. </w:t>
      </w:r>
      <w:r>
        <w:rPr>
          <w:rStyle w:val="Subst"/>
          <w:bCs/>
          <w:iCs/>
        </w:rPr>
        <w:br/>
        <w:t>Участниками процесса внутреннего контроля в 2024 году являлись Совет директоров, Генеральный директор, директора по направлениям, коллегиальные рабочие органы, создаваемые Генеральным директором Общества для выполнения конкретных функций (комиссия по управлению рисками, комиссия по внутреннему контролю, рабочие группы и т.п.), работники Общества, выполняющие контрольные процедуры в силу своих должностных обязанностей.</w:t>
      </w:r>
      <w:r>
        <w:rPr>
          <w:rStyle w:val="Subst"/>
          <w:bCs/>
          <w:iCs/>
        </w:rPr>
        <w:br/>
        <w:t>Роли участников процесса внутреннего контроля разграничены в зависимости от их участия в соответствующих этапах процесса внутреннего контроля.</w:t>
      </w:r>
      <w:r>
        <w:rPr>
          <w:rStyle w:val="Subst"/>
          <w:bCs/>
          <w:iCs/>
        </w:rPr>
        <w:br/>
        <w:t>Совершенствование СВК и выполнение контрольных процедур основано на эффективном и скоординированном взаимодействии всех участников процесса внутреннего контроля на всех уровнях управления.</w:t>
      </w:r>
      <w:r>
        <w:rPr>
          <w:rStyle w:val="Subst"/>
          <w:bCs/>
          <w:iCs/>
        </w:rPr>
        <w:br/>
        <w:t>Генеральный директор Общества:</w:t>
      </w:r>
      <w:r>
        <w:rPr>
          <w:rStyle w:val="Subst"/>
          <w:bCs/>
          <w:iCs/>
        </w:rPr>
        <w:br/>
        <w:t xml:space="preserve">- утверждает документы Общества по вопросам организации и функционирования СВК, за </w:t>
      </w:r>
      <w:r>
        <w:rPr>
          <w:rStyle w:val="Subst"/>
          <w:bCs/>
          <w:iCs/>
        </w:rPr>
        <w:lastRenderedPageBreak/>
        <w:t>исключение документов, утверждение которых отнесено к компетенции Совета директоров Общества;</w:t>
      </w:r>
      <w:r>
        <w:rPr>
          <w:rStyle w:val="Subst"/>
          <w:bCs/>
          <w:iCs/>
        </w:rPr>
        <w:br/>
        <w:t>- обеспечивает выполнение планов деятельности Общества, необходимых для решения его задач;</w:t>
      </w:r>
      <w:r>
        <w:rPr>
          <w:rStyle w:val="Subst"/>
          <w:bCs/>
          <w:iCs/>
        </w:rPr>
        <w:br/>
        <w:t>- организует ведение бухгалтерского и управленческого учета, подготовку бухгалтерской (финансовой) и иной отчетности.</w:t>
      </w:r>
      <w:r>
        <w:rPr>
          <w:rStyle w:val="Subst"/>
          <w:bCs/>
          <w:iCs/>
        </w:rPr>
        <w:br/>
        <w:t>Директора по направлениям Общества:</w:t>
      </w:r>
      <w:r>
        <w:rPr>
          <w:rStyle w:val="Subst"/>
          <w:bCs/>
          <w:iCs/>
        </w:rPr>
        <w:br/>
        <w:t>- формируют направления развития и совершенствования СВК;</w:t>
      </w:r>
      <w:r>
        <w:rPr>
          <w:rStyle w:val="Subst"/>
          <w:bCs/>
          <w:iCs/>
        </w:rPr>
        <w:br/>
        <w:t>- осуществляют подготовку отчетности о финансово-хозяйственной деятельности Общества;</w:t>
      </w:r>
      <w:r>
        <w:rPr>
          <w:rStyle w:val="Subst"/>
          <w:bCs/>
          <w:iCs/>
        </w:rPr>
        <w:br/>
        <w:t>- разрабатывают меры по развитию и совершенствованию СВК;</w:t>
      </w:r>
      <w:r>
        <w:rPr>
          <w:rStyle w:val="Subst"/>
          <w:bCs/>
          <w:iCs/>
        </w:rPr>
        <w:br/>
        <w:t>- организуют построение эффективных процессов (направлений деятельности), включая разработку и внедрение с учетом выявленных рисков новых или изменение существующих контрольных процедур;</w:t>
      </w:r>
      <w:r>
        <w:rPr>
          <w:rStyle w:val="Subst"/>
          <w:bCs/>
          <w:iCs/>
        </w:rPr>
        <w:br/>
        <w:t>- обеспечивают регламентацию курируемых процессов (направлений деятельности);</w:t>
      </w:r>
      <w:r>
        <w:rPr>
          <w:rStyle w:val="Subst"/>
          <w:bCs/>
          <w:iCs/>
        </w:rPr>
        <w:br/>
        <w:t>- осуществляют оценку (мониторинг) выполнения контрольных процедур.</w:t>
      </w:r>
      <w:r>
        <w:rPr>
          <w:rStyle w:val="Subst"/>
          <w:bCs/>
          <w:iCs/>
        </w:rPr>
        <w:br/>
        <w:t>Совет директоров Общества:</w:t>
      </w:r>
      <w:r>
        <w:rPr>
          <w:rStyle w:val="Subst"/>
          <w:bCs/>
          <w:iCs/>
        </w:rPr>
        <w:br/>
        <w:t>- определяет принципы и подходы к организации системы внутреннего контроля Общества;</w:t>
      </w:r>
      <w:r>
        <w:rPr>
          <w:rStyle w:val="Subst"/>
          <w:bCs/>
          <w:iCs/>
        </w:rPr>
        <w:br/>
        <w:t>- утверждает Политику внутреннего контроля Общества.</w:t>
      </w:r>
      <w:r>
        <w:rPr>
          <w:rStyle w:val="Subst"/>
          <w:bCs/>
          <w:iCs/>
        </w:rPr>
        <w:br/>
        <w:t>Коллегиальные рабочие органы, создаваемые Генеральным директором Общества для выполнения конкретных функций (комиссия по внутреннему контролю, рабочие группы и т.п.), в рамках своих полномочий осуществляют контрольные процедуры и/или вырабатывают рекомендации по совершенствованию контрольных процедур, отдельных компонентов (элементов) внутреннего контроля и системы внутреннего контроля.</w:t>
      </w:r>
      <w:r>
        <w:rPr>
          <w:rStyle w:val="Subst"/>
          <w:bCs/>
          <w:iCs/>
        </w:rPr>
        <w:br/>
        <w:t>Руководители структурных подразделений Общества осуществляют функции по разработке, документированию, внедрению, мониторингу и развитию системы внутреннего контроля в функциональных областях деятельности Общества, ответственность за организацию и координацию осуществление по которым возложена на них нормативными документами Общества   положениями о структурных подразделениях, в т.ч.:</w:t>
      </w:r>
      <w:r>
        <w:rPr>
          <w:rStyle w:val="Subst"/>
          <w:bCs/>
          <w:iCs/>
        </w:rPr>
        <w:br/>
        <w:t>- организуют исполнение контрольных процедур;</w:t>
      </w:r>
      <w:r>
        <w:rPr>
          <w:rStyle w:val="Subst"/>
          <w:bCs/>
          <w:iCs/>
        </w:rPr>
        <w:br/>
        <w:t>- проводят оценку курируемых процессов (направлений деятельности) на предмет необходимости их оптимизации для повышения эффективности и соответствия изменяющимся условиям внешней и внутренней среды, организуют разработку предложений по совершенствованию контрольных процедур;</w:t>
      </w:r>
      <w:r>
        <w:rPr>
          <w:rStyle w:val="Subst"/>
          <w:bCs/>
          <w:iCs/>
        </w:rPr>
        <w:br/>
        <w:t>- обеспечивают устранение выявленных недостатков контрольных процедур и процессов (направлений деятельности).</w:t>
      </w:r>
      <w:r>
        <w:rPr>
          <w:rStyle w:val="Subst"/>
          <w:bCs/>
          <w:iCs/>
        </w:rPr>
        <w:br/>
        <w:t>Работники структурных подразделений Общества, выполняющие контрольные процедуры в силу своих должностных обязанностей:</w:t>
      </w:r>
      <w:r>
        <w:rPr>
          <w:rStyle w:val="Subst"/>
          <w:bCs/>
          <w:iCs/>
        </w:rPr>
        <w:br/>
        <w:t>- исполняют контрольные процедуры;</w:t>
      </w:r>
      <w:r>
        <w:rPr>
          <w:rStyle w:val="Subst"/>
          <w:bCs/>
          <w:iCs/>
        </w:rPr>
        <w:br/>
        <w:t>- обеспечивают своевременное информирование непосредственных руководителей о случаях, когда исполнение контрольных процедур по каким-либо причинам стало невозможным и/или требуется изменение дизайна контрольных процедур в связи с изменением внутренних и /или внешних условий функционирования Общества;</w:t>
      </w:r>
      <w:r>
        <w:rPr>
          <w:rStyle w:val="Subst"/>
          <w:bCs/>
          <w:iCs/>
        </w:rPr>
        <w:br/>
        <w:t>- представляют на рассмотрение непосредственному руководству предложения по внедрению контрольных процедур в соответствующих областях деятельности.</w:t>
      </w:r>
      <w:r>
        <w:rPr>
          <w:rStyle w:val="Subst"/>
          <w:bCs/>
          <w:iCs/>
        </w:rPr>
        <w:br/>
        <w:t>Комиссия по внутреннему контролю осуществляет:</w:t>
      </w:r>
      <w:r>
        <w:rPr>
          <w:rStyle w:val="Subst"/>
          <w:bCs/>
          <w:iCs/>
        </w:rPr>
        <w:br/>
        <w:t>- координацию деятельности по поддержанию и мониторингу целевого состояния системы внутреннего контроля;</w:t>
      </w:r>
      <w:r>
        <w:rPr>
          <w:rStyle w:val="Subst"/>
          <w:bCs/>
          <w:iCs/>
        </w:rPr>
        <w:br/>
        <w:t>- подготовку отчета и информирование Генерального директора Общества об организации и функционировании системы внутреннего контроля в Обществе.</w:t>
      </w:r>
      <w:r>
        <w:rPr>
          <w:rStyle w:val="Subst"/>
          <w:bCs/>
          <w:iCs/>
        </w:rPr>
        <w:br/>
      </w:r>
      <w:r>
        <w:rPr>
          <w:rStyle w:val="Subst"/>
          <w:bCs/>
          <w:iCs/>
        </w:rPr>
        <w:br/>
        <w:t xml:space="preserve">Отдельное структурное подразделение по управлению рисками в Обществе отсутствует. </w:t>
      </w:r>
      <w:r>
        <w:rPr>
          <w:rStyle w:val="Subst"/>
          <w:bCs/>
          <w:iCs/>
        </w:rPr>
        <w:br/>
        <w:t>Основными участниками процесса управления рисками в 2024 году являлись Совет директоров, Генеральный директор, директора по направлениям, комиссия по управлению рисками, рабочие группы, исполнители мероприятий по управлению рисками.</w:t>
      </w:r>
      <w:r>
        <w:rPr>
          <w:rStyle w:val="Subst"/>
          <w:bCs/>
          <w:iCs/>
        </w:rPr>
        <w:br/>
        <w:t>Совет директоров Общества:</w:t>
      </w:r>
      <w:r>
        <w:rPr>
          <w:rStyle w:val="Subst"/>
          <w:bCs/>
          <w:iCs/>
        </w:rPr>
        <w:br/>
        <w:t>- утверждает Политику управления рисками Общества.</w:t>
      </w:r>
      <w:r>
        <w:rPr>
          <w:rStyle w:val="Subst"/>
          <w:bCs/>
          <w:iCs/>
        </w:rPr>
        <w:br/>
        <w:t>Генеральный директор:</w:t>
      </w:r>
      <w:r>
        <w:rPr>
          <w:rStyle w:val="Subst"/>
          <w:bCs/>
          <w:iCs/>
        </w:rPr>
        <w:br/>
        <w:t>- устанавливает требования к формату и полноте информации о рисках Общества;</w:t>
      </w:r>
      <w:r>
        <w:rPr>
          <w:rStyle w:val="Subst"/>
          <w:bCs/>
          <w:iCs/>
        </w:rPr>
        <w:br/>
        <w:t>- формирует направления и планы развития и совершенствования СУР;</w:t>
      </w:r>
      <w:r>
        <w:rPr>
          <w:rStyle w:val="Subst"/>
          <w:bCs/>
          <w:iCs/>
        </w:rPr>
        <w:br/>
        <w:t>- проводит анализ портфеля рисков и вырабатывает меры по стратегии реагирования и перераспределению ресурсов в отношении управления соответствующими рисками;</w:t>
      </w:r>
      <w:r>
        <w:rPr>
          <w:rStyle w:val="Subst"/>
          <w:bCs/>
          <w:iCs/>
        </w:rPr>
        <w:br/>
        <w:t>- рассматривает отчет комиссии по управлению рисками о результатах управления рисками;</w:t>
      </w:r>
      <w:r>
        <w:rPr>
          <w:rStyle w:val="Subst"/>
          <w:bCs/>
          <w:iCs/>
        </w:rPr>
        <w:br/>
        <w:t>- разрабатывает меры по развитию и совершенствованию СУР;</w:t>
      </w:r>
      <w:r>
        <w:rPr>
          <w:rStyle w:val="Subst"/>
          <w:bCs/>
          <w:iCs/>
        </w:rPr>
        <w:br/>
        <w:t>- обеспечивает эффективное управление рисками в рамках текущей деятельности Общества.</w:t>
      </w:r>
      <w:r>
        <w:rPr>
          <w:rStyle w:val="Subst"/>
          <w:bCs/>
          <w:iCs/>
        </w:rPr>
        <w:br/>
      </w:r>
      <w:r>
        <w:rPr>
          <w:rStyle w:val="Subst"/>
          <w:bCs/>
          <w:iCs/>
        </w:rPr>
        <w:lastRenderedPageBreak/>
        <w:t>Директора по направлениям отвечают за:</w:t>
      </w:r>
      <w:r>
        <w:rPr>
          <w:rStyle w:val="Subst"/>
          <w:bCs/>
          <w:iCs/>
        </w:rPr>
        <w:br/>
        <w:t>- своевременное выявление и оценку рисков;</w:t>
      </w:r>
      <w:r>
        <w:rPr>
          <w:rStyle w:val="Subst"/>
          <w:bCs/>
          <w:iCs/>
        </w:rPr>
        <w:br/>
        <w:t>- выбор метода реагирования на риски;</w:t>
      </w:r>
      <w:r>
        <w:rPr>
          <w:rStyle w:val="Subst"/>
          <w:bCs/>
          <w:iCs/>
        </w:rPr>
        <w:br/>
        <w:t>- своевременную разработку и организацию выполнения мероприятий по управлению рисками;</w:t>
      </w:r>
      <w:r>
        <w:rPr>
          <w:rStyle w:val="Subst"/>
          <w:bCs/>
          <w:iCs/>
        </w:rPr>
        <w:br/>
        <w:t xml:space="preserve">- регулярный мониторинг рисков; </w:t>
      </w:r>
      <w:r>
        <w:rPr>
          <w:rStyle w:val="Subst"/>
          <w:bCs/>
          <w:iCs/>
        </w:rPr>
        <w:br/>
        <w:t>- обеспечение своевременного информирования Генерального директора Общества о результатах работы по управлению рисками.</w:t>
      </w:r>
      <w:r>
        <w:rPr>
          <w:rStyle w:val="Subst"/>
          <w:bCs/>
          <w:iCs/>
        </w:rPr>
        <w:br/>
        <w:t>Исполнители мероприятий по управлению рисками отвечают за:</w:t>
      </w:r>
      <w:r>
        <w:rPr>
          <w:rStyle w:val="Subst"/>
          <w:bCs/>
          <w:iCs/>
        </w:rPr>
        <w:br/>
        <w:t>- своевременное выявление и/или минимизацию рисков в соответствии с должностными инструкциями и установленными регламентирующими документами;</w:t>
      </w:r>
      <w:r>
        <w:rPr>
          <w:rStyle w:val="Subst"/>
          <w:bCs/>
          <w:iCs/>
        </w:rPr>
        <w:br/>
        <w:t>- выполнение мероприятий, направленных на управление рисками, своевременно и в полном объеме.</w:t>
      </w:r>
      <w:r>
        <w:rPr>
          <w:rStyle w:val="Subst"/>
          <w:bCs/>
          <w:iCs/>
        </w:rPr>
        <w:br/>
        <w:t>Комиссия по управлению рисками осуществляет функции по:</w:t>
      </w:r>
      <w:r>
        <w:rPr>
          <w:rStyle w:val="Subst"/>
          <w:bCs/>
          <w:iCs/>
        </w:rPr>
        <w:br/>
        <w:t>- общей координации процессов  управления рисками, в  т.ч. взаимодействие всех участников СУР;</w:t>
      </w:r>
      <w:r>
        <w:rPr>
          <w:rStyle w:val="Subst"/>
          <w:bCs/>
          <w:iCs/>
        </w:rPr>
        <w:br/>
        <w:t>- своевременному агрегированию информации по всем выявленным рискам и подготовки предложений по актуализации реестра рисков;</w:t>
      </w:r>
      <w:r>
        <w:rPr>
          <w:rStyle w:val="Subst"/>
          <w:bCs/>
          <w:iCs/>
        </w:rPr>
        <w:br/>
        <w:t>- обеспечению мониторинга процессом управления рисками Общества;</w:t>
      </w:r>
      <w:r>
        <w:rPr>
          <w:rStyle w:val="Subst"/>
          <w:bCs/>
          <w:iCs/>
        </w:rPr>
        <w:br/>
        <w:t>- подготовке отчета и информирование Генерального директора Общества о результатах управления рисками.</w:t>
      </w:r>
      <w:r>
        <w:rPr>
          <w:rStyle w:val="Subst"/>
          <w:bCs/>
          <w:iCs/>
        </w:rPr>
        <w:br/>
        <w:t xml:space="preserve">В соответствии с Политикой управления рисками и внутреннего контроля ПАО «Мордовская энергосбытовая компания», утвержденной Советом директоров (Протокол № 253 от 24.12.2021 г.) и действующей с 01.01.2022 г., функционирование системы управления рисками и внутреннего контроля (далее - </w:t>
      </w:r>
      <w:proofErr w:type="spellStart"/>
      <w:r>
        <w:rPr>
          <w:rStyle w:val="Subst"/>
          <w:bCs/>
          <w:iCs/>
        </w:rPr>
        <w:t>СУРиВК</w:t>
      </w:r>
      <w:proofErr w:type="spellEnd"/>
      <w:r>
        <w:rPr>
          <w:rStyle w:val="Subst"/>
          <w:bCs/>
          <w:iCs/>
        </w:rPr>
        <w:t>) реализуется на всех уровнях управления, охватывает все бизнес-процессы, структурные и обособленные подразделения Общества.</w:t>
      </w:r>
      <w:r>
        <w:rPr>
          <w:rStyle w:val="Subst"/>
          <w:bCs/>
          <w:iCs/>
        </w:rPr>
        <w:br/>
      </w:r>
      <w:proofErr w:type="spellStart"/>
      <w:r>
        <w:rPr>
          <w:rStyle w:val="Subst"/>
          <w:bCs/>
          <w:iCs/>
        </w:rPr>
        <w:t>СУРиВК</w:t>
      </w:r>
      <w:proofErr w:type="spellEnd"/>
      <w:r>
        <w:rPr>
          <w:rStyle w:val="Subst"/>
          <w:bCs/>
          <w:iCs/>
        </w:rPr>
        <w:t xml:space="preserve"> включает организацию трех линий эффективного взаимодействия всех участников </w:t>
      </w:r>
      <w:proofErr w:type="spellStart"/>
      <w:r>
        <w:rPr>
          <w:rStyle w:val="Subst"/>
          <w:bCs/>
          <w:iCs/>
        </w:rPr>
        <w:t>СУРиВК</w:t>
      </w:r>
      <w:proofErr w:type="spellEnd"/>
      <w:r>
        <w:rPr>
          <w:rStyle w:val="Subst"/>
          <w:bCs/>
          <w:iCs/>
        </w:rPr>
        <w:t>:</w:t>
      </w:r>
      <w:r>
        <w:rPr>
          <w:rStyle w:val="Subst"/>
          <w:bCs/>
          <w:iCs/>
        </w:rPr>
        <w:br/>
        <w:t xml:space="preserve">- 1 линия «Оперативное управление»: выявление, разработка и реализация мероприятий по устранению/снижению влияния/предотвращению недостатков и рисков </w:t>
      </w:r>
      <w:proofErr w:type="spellStart"/>
      <w:r>
        <w:rPr>
          <w:rStyle w:val="Subst"/>
          <w:bCs/>
          <w:iCs/>
        </w:rPr>
        <w:t>СУРиВК</w:t>
      </w:r>
      <w:proofErr w:type="spellEnd"/>
      <w:r>
        <w:rPr>
          <w:rStyle w:val="Subst"/>
          <w:bCs/>
          <w:iCs/>
        </w:rPr>
        <w:t xml:space="preserve">. Обеспечивают Владельцы рисков на операционном уровне управления Обществом. Включает оперативное выявление недостатков и рисков </w:t>
      </w:r>
      <w:proofErr w:type="spellStart"/>
      <w:r>
        <w:rPr>
          <w:rStyle w:val="Subst"/>
          <w:bCs/>
          <w:iCs/>
        </w:rPr>
        <w:t>СУРиВК</w:t>
      </w:r>
      <w:proofErr w:type="spellEnd"/>
      <w:r>
        <w:rPr>
          <w:rStyle w:val="Subst"/>
          <w:bCs/>
          <w:iCs/>
        </w:rPr>
        <w:t>, а также разработку и своевременную реализацию мероприятий по устранению недостатков и рисков в зоне функциональных задач и ответственности Владельцев рисков.</w:t>
      </w:r>
      <w:r>
        <w:rPr>
          <w:rStyle w:val="Subst"/>
          <w:bCs/>
          <w:iCs/>
        </w:rPr>
        <w:br/>
        <w:t>- 2 линия «Внутренний контроль и надзор»: контроль эффективности, предупреждение. Включает обеспечение дополнительными знаниями, проведение мониторинга и помощь в решении проблем Владельцев рисков. Осуществляется комиссией по внутреннему контролю и управлению рисками, директорами по направлениям, руководителями подразделений.</w:t>
      </w:r>
      <w:r>
        <w:rPr>
          <w:rStyle w:val="Subst"/>
          <w:bCs/>
          <w:iCs/>
        </w:rPr>
        <w:br/>
        <w:t xml:space="preserve">- 3 линия «Внутренний аудит»: предоставление независимых и объективных гарантий и рекомендаций Совету директоров, Комитету по аудиту и Общему собранию акционеров относительно адекватности и эффективности </w:t>
      </w:r>
      <w:proofErr w:type="spellStart"/>
      <w:r>
        <w:rPr>
          <w:rStyle w:val="Subst"/>
          <w:bCs/>
          <w:iCs/>
        </w:rPr>
        <w:t>СУРиВК</w:t>
      </w:r>
      <w:proofErr w:type="spellEnd"/>
      <w:r>
        <w:rPr>
          <w:rStyle w:val="Subst"/>
          <w:bCs/>
          <w:iCs/>
        </w:rPr>
        <w:t>.</w:t>
      </w:r>
      <w:r>
        <w:rPr>
          <w:rStyle w:val="Subst"/>
          <w:bCs/>
          <w:iCs/>
        </w:rPr>
        <w:br/>
        <w:t xml:space="preserve">Обеспечивают должностное лицо, ответственное за организацию и осуществление внутреннего аудита Общества, Генеральный директор, Комитет по аудиту и Совет директоров. Должностное лицо, ответственное за организацию и осуществление внутреннего аудита Общества, осуществляет проведение проверок эффективности и адекватности </w:t>
      </w:r>
      <w:proofErr w:type="spellStart"/>
      <w:r>
        <w:rPr>
          <w:rStyle w:val="Subst"/>
          <w:bCs/>
          <w:iCs/>
        </w:rPr>
        <w:t>СУРиВК</w:t>
      </w:r>
      <w:proofErr w:type="spellEnd"/>
      <w:r>
        <w:rPr>
          <w:rStyle w:val="Subst"/>
          <w:bCs/>
          <w:iCs/>
        </w:rPr>
        <w:t xml:space="preserve"> в структурных подразделениях Общества, что позволяет эффективно предупреждать риски. Комитет по аудиту осуществляет общий контроль за функционированием </w:t>
      </w:r>
      <w:proofErr w:type="spellStart"/>
      <w:r>
        <w:rPr>
          <w:rStyle w:val="Subst"/>
          <w:bCs/>
          <w:iCs/>
        </w:rPr>
        <w:t>СУРиВК</w:t>
      </w:r>
      <w:proofErr w:type="spellEnd"/>
      <w:r>
        <w:rPr>
          <w:rStyle w:val="Subst"/>
          <w:bCs/>
          <w:iCs/>
        </w:rPr>
        <w:t>.</w:t>
      </w:r>
      <w:r>
        <w:rPr>
          <w:rStyle w:val="Subst"/>
          <w:bCs/>
          <w:iCs/>
        </w:rPr>
        <w:br/>
      </w:r>
      <w:r>
        <w:rPr>
          <w:rStyle w:val="Subst"/>
          <w:bCs/>
          <w:iCs/>
        </w:rPr>
        <w:br/>
      </w:r>
      <w:r w:rsidR="00CA1BDC" w:rsidRPr="00CA1BDC">
        <w:rPr>
          <w:rStyle w:val="Subst"/>
          <w:bCs/>
          <w:iCs/>
        </w:rPr>
        <w:t>В 2024 году Комиссией по управлению рисками были сформированы и предоставлены Генеральному директору Общества следующие документы:</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t>- Классификатор рисков Общества;</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t>- Перечень владельцев рисков Общества;</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t>- Реестр рисков Общества на 1 полугодие 2024 года;</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t>- Реестр рисков Общества на 2 полугодие 2024 года;</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t>- Отчет о выполнении Плана мероприятий воздействия на риск Общества за 2 полугодие 2023 года;</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t>- Отчет о выполнении Плана мероприятий воздействия на риск Общества за 1 полугодие 2024 года.</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t>Реестр рисков Общества на 1 полугодие 2024 года был предварительно рассмотрен на заседании Комитета по аудиту Совета директоров Общества 25 января 2024 г. (Протокол № 21 от 25 января 2024 г.), а затем утвержден на заседании Совета директоров Общества 26 января 2024 г. (Протокол № 283 от 26 января 2024 г.).</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t>Реестр рисков Общества на 2 полугодие 2024 года был утвержден на заседании Совета директоров Общества 11 июля 2024 г. (Протокол № 291 от 11 июля 2024 г.).</w:t>
      </w:r>
    </w:p>
    <w:p w:rsidR="00CA1BDC" w:rsidRPr="00CA1BDC" w:rsidRDefault="00CA1BDC" w:rsidP="00CA1BDC">
      <w:pPr>
        <w:pStyle w:val="12"/>
        <w:shd w:val="clear" w:color="auto" w:fill="auto"/>
        <w:ind w:firstLine="700"/>
        <w:jc w:val="both"/>
        <w:rPr>
          <w:rStyle w:val="Subst"/>
          <w:bCs/>
          <w:iCs/>
          <w:sz w:val="20"/>
          <w:szCs w:val="20"/>
        </w:rPr>
      </w:pPr>
      <w:r w:rsidRPr="00CA1BDC">
        <w:rPr>
          <w:rStyle w:val="Subst"/>
          <w:bCs/>
          <w:iCs/>
          <w:sz w:val="20"/>
          <w:szCs w:val="20"/>
        </w:rPr>
        <w:lastRenderedPageBreak/>
        <w:t>Отчет о выполнении Плана мероприятий воздействия на риск Общества за 2 полугодие 2023 года был утвержден на заседании Совета директоров Общества 28 марта 2024 г. (Протокол № 286 от 28 марта 2024 г.).</w:t>
      </w:r>
    </w:p>
    <w:p w:rsidR="00CA1BDC" w:rsidRDefault="00CA1BDC" w:rsidP="00CA1BDC">
      <w:pPr>
        <w:pStyle w:val="12"/>
        <w:shd w:val="clear" w:color="auto" w:fill="auto"/>
        <w:spacing w:after="260"/>
        <w:ind w:firstLine="700"/>
        <w:jc w:val="both"/>
        <w:rPr>
          <w:rStyle w:val="Subst"/>
          <w:bCs/>
          <w:iCs/>
        </w:rPr>
      </w:pPr>
      <w:r w:rsidRPr="00CA1BDC">
        <w:rPr>
          <w:rStyle w:val="Subst"/>
          <w:bCs/>
          <w:iCs/>
          <w:sz w:val="20"/>
          <w:szCs w:val="20"/>
        </w:rPr>
        <w:t>Отчет о выполнении Плана мероприятий воздействия на риск Общества за 1 полугодие 2024 года был предварительно рассмотрен на заседании Комитета по аудиту Совета директоров Общества 26 августа 2024 г. (Протокол № 28 от 26 августа 2024 г.), а затем утвержден на заседании Совета директоров Общества 26 августа 2024 г. (Протокол № 292 от 26 августа 2024 г.).</w:t>
      </w:r>
    </w:p>
    <w:p w:rsidR="0076611B" w:rsidRDefault="0076611B" w:rsidP="00E223A1">
      <w:pPr>
        <w:ind w:left="200"/>
        <w:jc w:val="both"/>
        <w:rPr>
          <w:rStyle w:val="Subst"/>
          <w:bCs/>
          <w:iCs/>
        </w:rPr>
      </w:pPr>
      <w:r w:rsidRPr="00CA1BDC">
        <w:rPr>
          <w:rStyle w:val="Subst"/>
          <w:b w:val="0"/>
          <w:bCs/>
          <w:i w:val="0"/>
          <w:iCs/>
        </w:rPr>
        <w:t>Ответственным структурным подразделением, осуществляющим контроль за соблюдением требований Федерального закона от 27.07.2010 года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 является отдел корпоративного управления Общества, который подотчетен единоличному исполнительному органу.</w:t>
      </w:r>
      <w:r w:rsidRPr="00CA1BDC">
        <w:rPr>
          <w:rStyle w:val="Subst"/>
          <w:b w:val="0"/>
          <w:bCs/>
          <w:i w:val="0"/>
          <w:iCs/>
        </w:rPr>
        <w:br/>
      </w:r>
      <w:r>
        <w:rPr>
          <w:rStyle w:val="Subst"/>
          <w:bCs/>
          <w:iCs/>
        </w:rPr>
        <w:t>Основными задачами внутреннего контроля по ПНИИИ/МР являются:</w:t>
      </w:r>
      <w:r>
        <w:rPr>
          <w:rStyle w:val="Subst"/>
          <w:bCs/>
          <w:iCs/>
        </w:rPr>
        <w:br/>
        <w:t>- своевременное выявление рисков нарушения Обществом, а также лиц, включенных в список инсайдеров, и связанных с ними лиц законодательных требований;</w:t>
      </w:r>
      <w:r>
        <w:rPr>
          <w:rStyle w:val="Subst"/>
          <w:bCs/>
          <w:iCs/>
        </w:rPr>
        <w:br/>
        <w:t>- информирование руководства о выявленных рисках (лиц, ответственных за принятие мер по устранению выявленных нарушений);</w:t>
      </w:r>
      <w:r>
        <w:rPr>
          <w:rStyle w:val="Subst"/>
          <w:bCs/>
          <w:iCs/>
        </w:rPr>
        <w:br/>
        <w:t>- направление рекомендаций по устранению и минимизации выявленных рисков;</w:t>
      </w:r>
      <w:r>
        <w:rPr>
          <w:rStyle w:val="Subst"/>
          <w:bCs/>
          <w:iCs/>
        </w:rPr>
        <w:br/>
        <w:t>- эффективная реализация контроля за принятием мер предотвращения и пресечения нарушений и реализацией представленных рекомендаций;</w:t>
      </w:r>
      <w:r>
        <w:rPr>
          <w:rStyle w:val="Subst"/>
          <w:bCs/>
          <w:iCs/>
        </w:rPr>
        <w:br/>
        <w:t>- информирование (уведомление) Банка России о выявленных фактах неправомерного использования инсайдерской информации в соответствии с принятым в Обществе порядком.</w:t>
      </w:r>
      <w:r>
        <w:rPr>
          <w:rStyle w:val="Subst"/>
          <w:bCs/>
          <w:iCs/>
        </w:rPr>
        <w:br/>
        <w:t>Функции ответственного структурного подразделения, в обязанности которого входит осуществление внутреннего контроля по ПНИИИ/МР:</w:t>
      </w:r>
      <w:r>
        <w:rPr>
          <w:rStyle w:val="Subst"/>
          <w:bCs/>
          <w:iCs/>
        </w:rPr>
        <w:br/>
        <w:t>1. Выявление, анализ, оценка и мониторинг риска возникновения у эмитента расходов (убытков) и (или) иных неблагоприятных последствий в результате его несоответствия или несоответствия его деятельности требованиям в области противодействия НИИИМР, учредительным и внутренним документам эмитента, и (или) в результате применения Банком России мер к эмитенту (далее - регуляторный риск в области противодействия НИИИМР).</w:t>
      </w:r>
      <w:r>
        <w:rPr>
          <w:rStyle w:val="Subst"/>
          <w:bCs/>
          <w:iCs/>
        </w:rPr>
        <w:br/>
        <w:t>2. Организация процессов, направленных на управление регуляторным риском в области противодействия НИИИМР, в том числе разработка мероприятий, направленных на предупреждение и предотвращение последствий реализации регуляторного риска в области противодействия НИИИМР, а также осуществление контроля за проведением указанных мероприятий.</w:t>
      </w:r>
      <w:r>
        <w:rPr>
          <w:rStyle w:val="Subst"/>
          <w:bCs/>
          <w:iCs/>
        </w:rPr>
        <w:br/>
        <w:t>3. Ведение учета событий, связанных с регуляторным риском в области противодействия НИИИМР.</w:t>
      </w:r>
      <w:r>
        <w:rPr>
          <w:rStyle w:val="Subst"/>
          <w:bCs/>
          <w:iCs/>
        </w:rPr>
        <w:br/>
        <w:t>4. Осуществление контроля за следующими действиями:</w:t>
      </w:r>
      <w:r>
        <w:rPr>
          <w:rStyle w:val="Subst"/>
          <w:bCs/>
          <w:iCs/>
        </w:rPr>
        <w:br/>
        <w:t>- информирование эмитентом Банка России о вероятных и (или) наступивших событиях регуляторного риска в области противодействия НИИИМР, признанных эмитентом существенными (далее - существенные события регуляторного риска в области противодействия НИИИМР), в случае принятия эмитентом решения об информировании Банка России о существенных событиях регуляторного риска в области противодействия НИИИМР;</w:t>
      </w:r>
      <w:r>
        <w:rPr>
          <w:rStyle w:val="Subst"/>
          <w:bCs/>
          <w:iCs/>
        </w:rPr>
        <w:br/>
        <w:t>- составление эмитентом собственного перечня инсайдерской информации и внесение в него изменений;</w:t>
      </w:r>
      <w:r>
        <w:rPr>
          <w:rStyle w:val="Subst"/>
          <w:bCs/>
          <w:iCs/>
        </w:rPr>
        <w:br/>
        <w:t>- соблюдение эмитентом порядка доступа к инсайдерской информации;</w:t>
      </w:r>
      <w:r>
        <w:rPr>
          <w:rStyle w:val="Subst"/>
          <w:bCs/>
          <w:iCs/>
        </w:rPr>
        <w:br/>
        <w:t xml:space="preserve">- соблюдение эмитентом порядка и сроков раскрытия инсайдерской информации; </w:t>
      </w:r>
      <w:r>
        <w:rPr>
          <w:rStyle w:val="Subst"/>
          <w:bCs/>
          <w:iCs/>
        </w:rPr>
        <w:br/>
        <w:t>- проведение эмитентом мероприятий, направленных на реализацию прав (исполнение обязанностей) в части ведения списка инсайдеров, уведомления лиц, включенных в список инсайдеров, об их включении в такой список и исключении из него, а также информирования указанных лиц о требованиях Федерального закона от 27 июля 2010 года №224-ФЗ, передачи списка инсайдеров организатору торговли, через которого совершаются операции с ценными бумагами эмитента, по его требованию, передачи списка инсайдеров в Банк России по его требованию;</w:t>
      </w:r>
      <w:r>
        <w:rPr>
          <w:rStyle w:val="Subst"/>
          <w:bCs/>
          <w:iCs/>
        </w:rPr>
        <w:br/>
        <w:t>- направления запросов инсайдерам о совершенных ими операциях с эмиссионными ценными бумагами эмитента, допущенными к организованным торгам, а также предоставления информации при получении эмитентом указанных запросов;</w:t>
      </w:r>
      <w:r>
        <w:rPr>
          <w:rStyle w:val="Subst"/>
          <w:bCs/>
          <w:iCs/>
        </w:rPr>
        <w:br/>
        <w:t>-  соблюдение лицами, указанными в пунктах 7 и 13 статьи 4 Федерального закона от 27 июля 2010 года №224-ФЗ, включенными в список инсайдеров эмитента, и связанными с ними лицами условий совершения операций с финансовыми инструментами, определенных высшим органом управления эмитента, в соответствии с частью 3 статьи 11 Федерального закона от 27 июля 2010 года №224-ФЗ;</w:t>
      </w:r>
      <w:r>
        <w:rPr>
          <w:rStyle w:val="Subst"/>
          <w:bCs/>
          <w:iCs/>
        </w:rPr>
        <w:br/>
      </w:r>
      <w:r>
        <w:rPr>
          <w:rStyle w:val="Subst"/>
          <w:bCs/>
          <w:iCs/>
        </w:rPr>
        <w:lastRenderedPageBreak/>
        <w:t>- обеспечение эмитентом соответствия документов эмитента требованиям в области противодействия НИИИМР и соответствия документов эмитента друг другу;</w:t>
      </w:r>
      <w:r>
        <w:rPr>
          <w:rStyle w:val="Subst"/>
          <w:bCs/>
          <w:iCs/>
        </w:rPr>
        <w:br/>
        <w:t>- проведение эмитентом ознакомления лиц, входящих в состав органов управления, и работников эмитента с требованиями в области противодействия НИИИМР и документами эмитента;</w:t>
      </w:r>
      <w:r>
        <w:rPr>
          <w:rStyle w:val="Subst"/>
          <w:bCs/>
          <w:iCs/>
        </w:rPr>
        <w:br/>
        <w:t>- участие в рассмотрении обращений (в том числе жалоб), запросов и заявлений в области противодействия НИИИМР, а также анализ статистики указанных обращений (в том числе жалоб), запросов и заявлений (при наличии указанной статистики);</w:t>
      </w:r>
      <w:r>
        <w:rPr>
          <w:rStyle w:val="Subst"/>
          <w:bCs/>
          <w:iCs/>
        </w:rPr>
        <w:br/>
        <w:t>-  составление и предоставление единоличному исполнительному органу эмитента отчетов о вероятных и (или) наступивших событиях регуляторного риска в области противодействия НИИИМР и отчетов о деятельности ответственного СП по ПНИИИ/МР;</w:t>
      </w:r>
      <w:r>
        <w:rPr>
          <w:rStyle w:val="Subst"/>
          <w:bCs/>
          <w:iCs/>
        </w:rPr>
        <w:br/>
        <w:t>- составление и предоставление единоличному исполнительному органу эмитента предложений, направленных на совершенствование проводимых эмитентом мероприятий по противодействию НИИИМР;</w:t>
      </w:r>
      <w:r>
        <w:rPr>
          <w:rStyle w:val="Subst"/>
          <w:bCs/>
          <w:iCs/>
        </w:rPr>
        <w:br/>
        <w:t>- участие в процессе пересмотра правил внутреннего контроля в области противодействия НИИИМР.</w:t>
      </w:r>
    </w:p>
    <w:p w:rsidR="00CA1BDC" w:rsidRDefault="00CA1BDC" w:rsidP="00E223A1">
      <w:pPr>
        <w:ind w:left="200"/>
        <w:jc w:val="both"/>
      </w:pPr>
    </w:p>
    <w:p w:rsidR="0076611B" w:rsidRDefault="0076611B" w:rsidP="00E223A1">
      <w:pPr>
        <w:ind w:left="200"/>
        <w:jc w:val="both"/>
      </w:pPr>
      <w: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br/>
      </w:r>
      <w:r>
        <w:rPr>
          <w:rStyle w:val="Subst"/>
          <w:bCs/>
          <w:iCs/>
        </w:rPr>
        <w:t>Внутренний аудит осуществляется в Обществе должностным лицом, ответственным за организацию и осуществление внутреннего аудита в Обществе (далее – Внутренний аудитор), которое назначается на должность и освобождается от должности на основании решения Совета директоров в соответствии с законодательством РФ.  Решением Совета директоров ПАО "Мордовская энергосбытовая компания" от 05.03.2021 г. (Протокол №241 от 05.03.2021 г.) назначено должностное лицо, ответственное за организацию и осуществление внутреннего аудита в ПАО "Мордовская энергосбытовая компания".</w:t>
      </w:r>
      <w:r>
        <w:rPr>
          <w:rStyle w:val="Subst"/>
          <w:bCs/>
          <w:iCs/>
        </w:rPr>
        <w:br/>
        <w:t xml:space="preserve">Задачами внутреннего аудита в Обществе, выполняемыми для достижения целей, являются: </w:t>
      </w:r>
      <w:r>
        <w:rPr>
          <w:rStyle w:val="Subst"/>
          <w:bCs/>
          <w:iCs/>
        </w:rPr>
        <w:br/>
        <w:t>1. Оценка корпоративного управления и предоставление рекомендаций по его совершенствованию. Оценка корпоративного управления может включать проверку:</w:t>
      </w:r>
      <w:r>
        <w:rPr>
          <w:rStyle w:val="Subst"/>
          <w:bCs/>
          <w:iCs/>
        </w:rPr>
        <w:br/>
        <w:t>- соблюдения и продвижения в Обществе этических принципов и корпоративных ценностей;</w:t>
      </w:r>
      <w:r>
        <w:rPr>
          <w:rStyle w:val="Subst"/>
          <w:bCs/>
          <w:iCs/>
        </w:rPr>
        <w:br/>
        <w:t>- порядка постановки целей Общества, мониторинга и контроля их достижения;</w:t>
      </w:r>
      <w:r>
        <w:rPr>
          <w:rStyle w:val="Subst"/>
          <w:bCs/>
          <w:iCs/>
        </w:rPr>
        <w:br/>
        <w:t>- процесса принятия стратегических и операционных решений в Обществе;</w:t>
      </w:r>
      <w:r>
        <w:rPr>
          <w:rStyle w:val="Subst"/>
          <w:bCs/>
          <w:iCs/>
        </w:rPr>
        <w:br/>
        <w:t>-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r>
        <w:rPr>
          <w:rStyle w:val="Subst"/>
          <w:bCs/>
          <w:iCs/>
        </w:rPr>
        <w:br/>
        <w:t>- соответствия системы управления информационными технологиями стратегии и целям Общества;</w:t>
      </w:r>
      <w:r>
        <w:rPr>
          <w:rStyle w:val="Subst"/>
          <w:bCs/>
          <w:iCs/>
        </w:rPr>
        <w:br/>
        <w:t>- осуществления надзора за системой управления рисками и внутреннего контроля;</w:t>
      </w:r>
      <w:r>
        <w:rPr>
          <w:rStyle w:val="Subst"/>
          <w:bCs/>
          <w:iCs/>
        </w:rPr>
        <w:br/>
        <w:t>- обеспечения прав акционеров, в том числе подконтрольных обществ, и эффективности взаимоотношений с заинтересованными сторонами;</w:t>
      </w:r>
      <w:r>
        <w:rPr>
          <w:rStyle w:val="Subst"/>
          <w:bCs/>
          <w:iCs/>
        </w:rPr>
        <w:br/>
        <w:t>- процедур раскрытия информации о деятельности Общества и подконтрольных ему обществ.</w:t>
      </w:r>
      <w:r>
        <w:rPr>
          <w:rStyle w:val="Subst"/>
          <w:bCs/>
          <w:iCs/>
        </w:rPr>
        <w:br/>
        <w:t>2.  Оценка надежности и эффективности управления рисками и внутреннего контроля и предоставление рекомендаций по ее совершенствованию. Оценка надежности и эффективности управления рисками и внутреннего контроля может включать проверку:</w:t>
      </w:r>
      <w:r>
        <w:rPr>
          <w:rStyle w:val="Subst"/>
          <w:bCs/>
          <w:iCs/>
        </w:rPr>
        <w:br/>
        <w:t>- соответствия целей деятельности Общества его миссии;</w:t>
      </w:r>
      <w:r>
        <w:rPr>
          <w:rStyle w:val="Subst"/>
          <w:bCs/>
          <w:iCs/>
        </w:rPr>
        <w:br/>
        <w:t>- полноты и корректности выявления и оценки существенных рисков;</w:t>
      </w:r>
      <w:r>
        <w:rPr>
          <w:rStyle w:val="Subst"/>
          <w:bCs/>
          <w:iCs/>
        </w:rPr>
        <w:br/>
        <w:t>- эффективности мер реагирования на риски и их удержания в пределах риск-аппетита Общества;</w:t>
      </w:r>
      <w:r>
        <w:rPr>
          <w:rStyle w:val="Subst"/>
          <w:bCs/>
          <w:iCs/>
        </w:rPr>
        <w:br/>
        <w:t>- порядка сбора и обмена информацией о рисках внутри Общества для обеспечения надлежащего реагирования на риски;</w:t>
      </w:r>
      <w:r>
        <w:rPr>
          <w:rStyle w:val="Subst"/>
          <w:bCs/>
          <w:iCs/>
        </w:rPr>
        <w:br/>
        <w:t>- эффективности внутреннего контроля применительно к одной категории целей (например, подготовка финансовой отчетности) или нескольким целям;</w:t>
      </w:r>
      <w:r>
        <w:rPr>
          <w:rStyle w:val="Subst"/>
          <w:bCs/>
          <w:iCs/>
        </w:rPr>
        <w:br/>
        <w:t>- адекватности критериев, установленных исполнительными органами Общества для анализа степени достижения поставленных целей, в том числе проведение руководством Общества оценки и мониторинга затрат и выгод, связанных с внедрением средств контроля;</w:t>
      </w:r>
      <w:r>
        <w:rPr>
          <w:rStyle w:val="Subst"/>
          <w:bCs/>
          <w:iCs/>
        </w:rPr>
        <w:br/>
        <w:t>- эффективности контрольных процедур и их соответствие уровню риска;</w:t>
      </w:r>
      <w:r>
        <w:rPr>
          <w:rStyle w:val="Subst"/>
          <w:bCs/>
          <w:iCs/>
        </w:rPr>
        <w:br/>
        <w:t>- степени существенности недостатков внутреннего контроля.</w:t>
      </w:r>
      <w:r>
        <w:rPr>
          <w:rStyle w:val="Subst"/>
          <w:bCs/>
          <w:iCs/>
        </w:rPr>
        <w:br/>
      </w:r>
      <w:r>
        <w:rPr>
          <w:rStyle w:val="Subst"/>
          <w:bCs/>
          <w:iCs/>
        </w:rPr>
        <w:br/>
        <w:t xml:space="preserve">Для выполнения задач внутренний аудитор выполняет следующие функции: </w:t>
      </w:r>
      <w:r>
        <w:rPr>
          <w:rStyle w:val="Subst"/>
          <w:bCs/>
          <w:iCs/>
        </w:rPr>
        <w:br/>
        <w:t xml:space="preserve">1. Проведение оценки эффективности системы внутреннего контроля Общества и выработка соответствующих рекомендаций по результатам оценки. </w:t>
      </w:r>
      <w:r>
        <w:rPr>
          <w:rStyle w:val="Subst"/>
          <w:bCs/>
          <w:iCs/>
        </w:rPr>
        <w:br/>
        <w:t xml:space="preserve">Оценка эффективности системы внутреннего контроля Общества включает: </w:t>
      </w:r>
      <w:r>
        <w:rPr>
          <w:rStyle w:val="Subst"/>
          <w:bCs/>
          <w:iCs/>
        </w:rPr>
        <w:br/>
      </w:r>
      <w:r>
        <w:rPr>
          <w:rStyle w:val="Subst"/>
          <w:bCs/>
          <w:iCs/>
        </w:rPr>
        <w:lastRenderedPageBreak/>
        <w:t xml:space="preserve">1) проведение анализа соответствия целей бизнес-процессов, проектов 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r>
        <w:rPr>
          <w:rStyle w:val="Subst"/>
          <w:bCs/>
          <w:iCs/>
        </w:rPr>
        <w:br/>
        <w:t xml:space="preserve">2) 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Общества соответствуют поставленным целям; </w:t>
      </w:r>
      <w:r>
        <w:rPr>
          <w:rStyle w:val="Subst"/>
          <w:bCs/>
          <w:iCs/>
        </w:rPr>
        <w:br/>
        <w:t xml:space="preserve">3) определение адекватности критериев, установленных исполнительными органами Общества для анализа степени исполнения (достижения) поставленных целей; </w:t>
      </w:r>
      <w:r>
        <w:rPr>
          <w:rStyle w:val="Subst"/>
          <w:bCs/>
          <w:iCs/>
        </w:rPr>
        <w:br/>
        <w:t xml:space="preserve">4) выявление недостатков системы внутреннего контроля, которые не позволили (не позволяют) Обществу достичь поставленных целей; </w:t>
      </w:r>
      <w:r>
        <w:rPr>
          <w:rStyle w:val="Subst"/>
          <w:bCs/>
          <w:iCs/>
        </w:rPr>
        <w:br/>
        <w:t xml:space="preserve">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 </w:t>
      </w:r>
      <w:r>
        <w:rPr>
          <w:rStyle w:val="Subst"/>
          <w:bCs/>
          <w:iCs/>
        </w:rPr>
        <w:br/>
        <w:t>6) проверку эффективности и целесообразности использования ресурсов;</w:t>
      </w:r>
      <w:r>
        <w:rPr>
          <w:rStyle w:val="Subst"/>
          <w:bCs/>
          <w:iCs/>
        </w:rPr>
        <w:br/>
        <w:t xml:space="preserve">7) проверку обеспечения сохранности активов; </w:t>
      </w:r>
      <w:r>
        <w:rPr>
          <w:rStyle w:val="Subst"/>
          <w:bCs/>
          <w:iCs/>
        </w:rPr>
        <w:br/>
        <w:t xml:space="preserve">8) проверку соблюдения требований законодательства, Устава и внутренних документов Общества. </w:t>
      </w:r>
      <w:r>
        <w:rPr>
          <w:rStyle w:val="Subst"/>
          <w:bCs/>
          <w:iCs/>
        </w:rPr>
        <w:br/>
        <w:t xml:space="preserve">2. Проведение оценки эффективности системы управления рисками Общества и выработка соответствующих рекомендаций по результатам оценки. </w:t>
      </w:r>
      <w:r>
        <w:rPr>
          <w:rStyle w:val="Subst"/>
          <w:bCs/>
          <w:iCs/>
        </w:rPr>
        <w:br/>
        <w:t xml:space="preserve">Оценка эффективности системы управления рисками Общества включает: </w:t>
      </w:r>
      <w:r>
        <w:rPr>
          <w:rStyle w:val="Subst"/>
          <w:bCs/>
          <w:iCs/>
        </w:rPr>
        <w:br/>
        <w:t xml:space="preserve">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 </w:t>
      </w:r>
      <w:r>
        <w:rPr>
          <w:rStyle w:val="Subst"/>
          <w:bCs/>
          <w:iCs/>
        </w:rPr>
        <w:br/>
        <w:t xml:space="preserve">2) проверку полноты выявления и корректности оценки рисков руководством Общества на всех уровнях его управления; </w:t>
      </w:r>
      <w:r>
        <w:rPr>
          <w:rStyle w:val="Subst"/>
          <w:bCs/>
          <w:iCs/>
        </w:rPr>
        <w:br/>
        <w:t xml:space="preserve">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r>
        <w:rPr>
          <w:rStyle w:val="Subst"/>
          <w:bCs/>
          <w:iCs/>
        </w:rPr>
        <w:br/>
        <w:t xml:space="preserve">4) 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 </w:t>
      </w:r>
      <w:r>
        <w:rPr>
          <w:rStyle w:val="Subst"/>
          <w:bCs/>
          <w:iCs/>
        </w:rPr>
        <w:br/>
        <w:t xml:space="preserve">3. Проведение оценки корпоративного управления Общества. </w:t>
      </w:r>
      <w:r>
        <w:rPr>
          <w:rStyle w:val="Subst"/>
          <w:bCs/>
          <w:iCs/>
        </w:rPr>
        <w:br/>
        <w:t xml:space="preserve">Оценка корпоративного управления Общества включает проверку: </w:t>
      </w:r>
      <w:r>
        <w:rPr>
          <w:rStyle w:val="Subst"/>
          <w:bCs/>
          <w:iCs/>
        </w:rPr>
        <w:br/>
        <w:t xml:space="preserve">1) соблюдения этических принципов и корпоративных ценностей Общества; </w:t>
      </w:r>
      <w:r>
        <w:rPr>
          <w:rStyle w:val="Subst"/>
          <w:bCs/>
          <w:iCs/>
        </w:rPr>
        <w:br/>
        <w:t>2) порядка постановки целей Общества, мониторинга и контроля их достижения;</w:t>
      </w:r>
      <w:r>
        <w:rPr>
          <w:rStyle w:val="Subst"/>
          <w:bCs/>
          <w:iCs/>
        </w:rPr>
        <w:br/>
        <w:t xml:space="preserve">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 </w:t>
      </w:r>
      <w:r>
        <w:rPr>
          <w:rStyle w:val="Subst"/>
          <w:bCs/>
          <w:iCs/>
        </w:rPr>
        <w:br/>
        <w:t xml:space="preserve">4) обеспечения прав акционеров и эффективности взаимоотношений с заинтересованными сторонами; </w:t>
      </w:r>
      <w:r>
        <w:rPr>
          <w:rStyle w:val="Subst"/>
          <w:bCs/>
          <w:iCs/>
        </w:rPr>
        <w:br/>
        <w:t>5) процедур раскрытия информации о деятельности Общества.</w:t>
      </w:r>
    </w:p>
    <w:p w:rsidR="0076611B" w:rsidRDefault="0076611B" w:rsidP="00E223A1">
      <w:pPr>
        <w:ind w:left="200"/>
        <w:jc w:val="both"/>
      </w:pPr>
    </w:p>
    <w:p w:rsidR="0076611B" w:rsidRDefault="0076611B" w:rsidP="00E223A1">
      <w:pPr>
        <w:ind w:left="200"/>
        <w:jc w:val="both"/>
        <w:rPr>
          <w:rStyle w:val="Subst"/>
          <w:bCs/>
          <w:iCs/>
        </w:rPr>
      </w:pPr>
      <w:r>
        <w:rPr>
          <w:rStyle w:val="Subst"/>
          <w:bCs/>
          <w:iCs/>
        </w:rPr>
        <w:t>Наличие ревизионной комиссии (ревизора) не предусмотрено Уставом</w:t>
      </w:r>
    </w:p>
    <w:p w:rsidR="00750090" w:rsidRDefault="00750090" w:rsidP="00E223A1">
      <w:pPr>
        <w:ind w:left="200"/>
        <w:jc w:val="both"/>
      </w:pPr>
    </w:p>
    <w:p w:rsidR="0076611B" w:rsidRDefault="0076611B" w:rsidP="00E223A1">
      <w:pPr>
        <w:ind w:left="200"/>
        <w:jc w:val="both"/>
      </w:pPr>
      <w:r>
        <w:t>Политика эмитента в области управления рисками, внутреннего контроля и внутреннего аудита:</w:t>
      </w:r>
      <w:r>
        <w:br/>
      </w:r>
      <w:r>
        <w:rPr>
          <w:rStyle w:val="Subst"/>
          <w:bCs/>
          <w:iCs/>
        </w:rPr>
        <w:t xml:space="preserve">1. Политика внутреннего контроля разработана с целью обеспечения внедрения и поддержания функционирования эффективной системы внутреннего контроля, соответствующей общепризнанным практикам и стандартам деятельности в области внутреннего контроля, а также требованиям регуляторов и в интересах акционеров, и способствующей достижению целей деятельности Общества. </w:t>
      </w:r>
      <w:r>
        <w:rPr>
          <w:rStyle w:val="Subst"/>
          <w:bCs/>
          <w:iCs/>
        </w:rPr>
        <w:br/>
        <w:t>Целью системы внутреннего контроля в Обществе является достижение поставленных перед Обществом целей:</w:t>
      </w:r>
      <w:r>
        <w:rPr>
          <w:rStyle w:val="Subst"/>
          <w:bCs/>
          <w:iCs/>
        </w:rPr>
        <w:br/>
        <w:t>- обеспечение эффективности и результативности деятельности Общества, сохранности активов Общества;</w:t>
      </w:r>
      <w:r>
        <w:rPr>
          <w:rStyle w:val="Subst"/>
          <w:bCs/>
          <w:iCs/>
        </w:rPr>
        <w:br/>
        <w:t>- соблюдение применимых к Обществу требований законодательства и локальных нормативных актов Общества, в том числе при совершении фактов хозяйственной деятельности и ведении бухгалтерского учета;</w:t>
      </w:r>
      <w:r>
        <w:rPr>
          <w:rStyle w:val="Subst"/>
          <w:bCs/>
          <w:iCs/>
        </w:rPr>
        <w:br/>
        <w:t>- обеспечение достоверности и своевременности бухгалтерской  (финансовой)  и иной отчетности.</w:t>
      </w:r>
      <w:r>
        <w:rPr>
          <w:rStyle w:val="Subst"/>
          <w:bCs/>
          <w:iCs/>
        </w:rPr>
        <w:br/>
        <w:t xml:space="preserve">Система внутреннего контроля должна обеспечивать объективное, справедливое и ясное </w:t>
      </w:r>
      <w:r>
        <w:rPr>
          <w:rStyle w:val="Subst"/>
          <w:bCs/>
          <w:iCs/>
        </w:rPr>
        <w:lastRenderedPageBreak/>
        <w:t>представление о текущем состоянии Общества, целостность и прозрачность отчетности Общества.</w:t>
      </w:r>
      <w:r>
        <w:rPr>
          <w:rStyle w:val="Subst"/>
          <w:bCs/>
          <w:iCs/>
        </w:rPr>
        <w:br/>
        <w:t>Задачи системы внутреннего контроля:</w:t>
      </w:r>
      <w:r>
        <w:rPr>
          <w:rStyle w:val="Subst"/>
          <w:bCs/>
          <w:iCs/>
        </w:rPr>
        <w:br/>
        <w:t>- содействие в обеспечении надежного, качественного и доступного энергоснабжения потребителей;</w:t>
      </w:r>
      <w:r>
        <w:rPr>
          <w:rStyle w:val="Subst"/>
          <w:bCs/>
          <w:iCs/>
        </w:rPr>
        <w:br/>
        <w:t>- содействие в обеспечении сохранности окружающей среды и безопасности персонала и третьих лиц при осуществлении Обществом своей деятельности;</w:t>
      </w:r>
      <w:r>
        <w:rPr>
          <w:rStyle w:val="Subst"/>
          <w:bCs/>
          <w:iCs/>
        </w:rPr>
        <w:br/>
        <w:t>- содействие в обеспечении выполнения финансово-хозяйственных планов Общества наиболее эффективным и экономичным образом (путем построения эффективных процессов (направлений деятельности);</w:t>
      </w:r>
      <w:r>
        <w:rPr>
          <w:rStyle w:val="Subst"/>
          <w:bCs/>
          <w:iCs/>
        </w:rPr>
        <w:br/>
        <w:t>- содействие в обеспечении разработки и внедрения эффективных контрольных процедур, позволяющих снизить риски, связанные с деятельностью Общества, до уровня, не выше предпочтительного риска (риск - аппетита);</w:t>
      </w:r>
      <w:r>
        <w:rPr>
          <w:rStyle w:val="Subst"/>
          <w:bCs/>
          <w:iCs/>
        </w:rPr>
        <w:br/>
        <w:t>- содействие в обеспечении эффективного предупреждения, выявления и устранения нарушений при осуществлении Обществом своей деятельности и проведении финансово-хозяйственных операций;</w:t>
      </w:r>
      <w:r>
        <w:rPr>
          <w:rStyle w:val="Subst"/>
          <w:bCs/>
          <w:iCs/>
        </w:rPr>
        <w:br/>
        <w:t>- содействие в обеспечении сохранности активов Общества, обеспечении эффективного использования ресурсов Общества, обеспечении защиты интересов Общества;</w:t>
      </w:r>
      <w:r>
        <w:rPr>
          <w:rStyle w:val="Subst"/>
          <w:bCs/>
          <w:iCs/>
        </w:rPr>
        <w:br/>
        <w:t>- содействие в обеспечении предотвращения или выявления отклонений от установленных правил и процедур, а также искажений данных бухгалтерского учета, бухгалтерской (финансовой) и иной отчетности;</w:t>
      </w:r>
      <w:r>
        <w:rPr>
          <w:rStyle w:val="Subst"/>
          <w:bCs/>
          <w:iCs/>
        </w:rPr>
        <w:br/>
        <w:t>- содействие в обеспечении соблюдения требований законодательства, применимого к деятельности Общества, соблюдения внутренних политик, регламентов и процедур Общества;</w:t>
      </w:r>
      <w:r>
        <w:rPr>
          <w:rStyle w:val="Subst"/>
          <w:bCs/>
          <w:iCs/>
        </w:rPr>
        <w:br/>
        <w:t>- содействие в обеспечении достоверности, полноты, надежности и своевременности формирования, доведения представления информации и всех видов отчетности Общества, установленных применимым законодательством и нормативными документами Общества.</w:t>
      </w:r>
      <w:r>
        <w:rPr>
          <w:rStyle w:val="Subst"/>
          <w:bCs/>
          <w:iCs/>
        </w:rPr>
        <w:br/>
        <w:t>Принципы внутреннего контроля:</w:t>
      </w:r>
      <w:r>
        <w:rPr>
          <w:rStyle w:val="Subst"/>
          <w:bCs/>
          <w:iCs/>
        </w:rPr>
        <w:br/>
        <w:t>- 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w:t>
      </w:r>
      <w:r>
        <w:rPr>
          <w:rStyle w:val="Subst"/>
          <w:bCs/>
          <w:iCs/>
        </w:rPr>
        <w:b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r>
        <w:rPr>
          <w:rStyle w:val="Subst"/>
          <w:bCs/>
          <w:iCs/>
        </w:rPr>
        <w:b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r>
        <w:rPr>
          <w:rStyle w:val="Subst"/>
          <w:bCs/>
          <w:iCs/>
        </w:rPr>
        <w:b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r>
        <w:rPr>
          <w:rStyle w:val="Subst"/>
          <w:bCs/>
          <w:iCs/>
        </w:rPr>
        <w:br/>
        <w:t>- 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r>
        <w:rPr>
          <w:rStyle w:val="Subst"/>
          <w:bCs/>
          <w:iCs/>
        </w:rPr>
        <w:br/>
      </w:r>
      <w:r>
        <w:rPr>
          <w:rStyle w:val="Subst"/>
          <w:bCs/>
          <w:iCs/>
        </w:rPr>
        <w:br/>
        <w:t>Внутренний контроль является непрерывным и цикличным процессом в составе общей системы управления Обществом, включающим следующие основные этапы:</w:t>
      </w:r>
      <w:r>
        <w:rPr>
          <w:rStyle w:val="Subst"/>
          <w:bCs/>
          <w:iCs/>
        </w:rPr>
        <w:br/>
        <w:t>1. Построение контрольной среды процессов (направлений деятельности).</w:t>
      </w:r>
      <w:r>
        <w:rPr>
          <w:rStyle w:val="Subst"/>
          <w:bCs/>
          <w:iCs/>
        </w:rPr>
        <w:br/>
        <w:t>1.1. Построение контрольной среды процессов (направлений деятельности), разработка и внедрение контрольных процедур, в т.ч.:</w:t>
      </w:r>
      <w:r>
        <w:rPr>
          <w:rStyle w:val="Subst"/>
          <w:bCs/>
          <w:iCs/>
        </w:rPr>
        <w:br/>
        <w:t>- оценка существующих процессов (проверка достаточности нормативных документов и контрольных процедур):</w:t>
      </w:r>
      <w:r>
        <w:rPr>
          <w:rStyle w:val="Subst"/>
          <w:bCs/>
          <w:iCs/>
        </w:rPr>
        <w:br/>
        <w:t>- разработка и внедрение новых или изменение существующих контрольных процедур, осуществляемых на различных уровнях управления, в том числе разработка общих процедур контроля над корпоративными и технологическими автоматизированными системами. При разработке контрольных процедур учитываются условия внешней и внутренней среды, влияющие на деятельность Общества. Контрольные процедуры должны непрерывно совершенствоваться и адаптироваться к изменениям внутренней и внешней среды;</w:t>
      </w:r>
      <w:r>
        <w:rPr>
          <w:rStyle w:val="Subst"/>
          <w:bCs/>
          <w:iCs/>
        </w:rPr>
        <w:br/>
        <w:t xml:space="preserve">- формализация контрольных процедур в нормативных документах Общества. Контрольные процедуры на всех уровнях управления и во всех процессах (направлениях деятельности) должны быть формализованы в нормативных документах Общества. При этом включаемые в нормативный документ формулировки контрольных процедур должны, по возможности, включать информацию об исполнителе контрольной процедуры (его должность), совершаемых им действиях в рамках осуществления контрольной процедуры, частоте выполнения контрольной процедуры, подлежащих контролю источниках информации, документах или объектах, а также о документах, подтверждающих факт выполнения контрольной процедуры. </w:t>
      </w:r>
      <w:r>
        <w:rPr>
          <w:rStyle w:val="Subst"/>
          <w:bCs/>
          <w:iCs/>
        </w:rPr>
        <w:br/>
        <w:t>1.2. В рамках СВК осуществляются предварительный, текущий и последующий контроль.</w:t>
      </w:r>
      <w:r>
        <w:rPr>
          <w:rStyle w:val="Subst"/>
          <w:bCs/>
          <w:iCs/>
        </w:rPr>
        <w:br/>
        <w:t xml:space="preserve">- предварительный контроль. Он осуществляется до начала совершения хозяйственной </w:t>
      </w:r>
      <w:r>
        <w:rPr>
          <w:rStyle w:val="Subst"/>
          <w:bCs/>
          <w:iCs/>
        </w:rPr>
        <w:lastRenderedPageBreak/>
        <w:t>операции. Позволяет определить, насколько целесообразной и правомерной будет та или иная операция;</w:t>
      </w:r>
      <w:r>
        <w:rPr>
          <w:rStyle w:val="Subst"/>
          <w:bCs/>
          <w:iCs/>
        </w:rPr>
        <w:br/>
        <w:t>- текущий контроль. Это проведение повседневного анализа соблюдения процедур исполнения бюджета (бизнес-плана), ведения бухгалтерского учета, осуществление мониторингов расходования средств по назначению, оценка эффективности и результативности их расходования;</w:t>
      </w:r>
      <w:r>
        <w:rPr>
          <w:rStyle w:val="Subst"/>
          <w:bCs/>
          <w:iCs/>
        </w:rPr>
        <w:br/>
        <w:t xml:space="preserve">- последующий контроль. Он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r>
        <w:rPr>
          <w:rStyle w:val="Subst"/>
          <w:bCs/>
          <w:iCs/>
        </w:rPr>
        <w:br/>
        <w:t>1.3 Виды контрольных процедур, применяемых Обществом:</w:t>
      </w:r>
      <w:r>
        <w:rPr>
          <w:rStyle w:val="Subst"/>
          <w:bCs/>
          <w:iCs/>
        </w:rPr>
        <w:br/>
        <w:t>- по времени осуществления: предотвращающие и выявляющие:</w:t>
      </w:r>
      <w:r>
        <w:rPr>
          <w:rStyle w:val="Subst"/>
          <w:bCs/>
          <w:iCs/>
        </w:rPr>
        <w:br/>
        <w:t>- по степени автоматизации: автоматизированные, полуавтоматические (ИТ-зависимые ручные) и ручные;</w:t>
      </w:r>
      <w:r>
        <w:rPr>
          <w:rStyle w:val="Subst"/>
          <w:bCs/>
          <w:iCs/>
        </w:rPr>
        <w:br/>
        <w:t>- по уровню значимости: ключевые и не ключевые;</w:t>
      </w:r>
      <w:r>
        <w:rPr>
          <w:rStyle w:val="Subst"/>
          <w:bCs/>
          <w:iCs/>
        </w:rPr>
        <w:br/>
        <w:t>- по способу осуществления: авторизация (утверждение, санкционирование), верификация, сверка, разграничение полномочий (разделение обязанностей), меры по сохранности активов (физический контроль), процедуры, связанные с компьютерной обработкой информации и информационными системами, т.д.</w:t>
      </w:r>
      <w:r>
        <w:rPr>
          <w:rStyle w:val="Subst"/>
          <w:bCs/>
          <w:iCs/>
        </w:rPr>
        <w:br/>
        <w:t>1.4. Внутренний контроль направлен на недопущение закрепления за одним лицом полномочий по совершению контрольной процедуры и по контролю ее исполнения, а также на разграничение полномочий по осуществлению функций: инициирования, авторизации, исполнения, учета и контроля операций.</w:t>
      </w:r>
      <w:r>
        <w:rPr>
          <w:rStyle w:val="Subst"/>
          <w:bCs/>
          <w:iCs/>
        </w:rPr>
        <w:br/>
        <w:t>В случае если разграничение несовместимых полномочий (разделение несовместимых обязанностей) практически невозможно, необходима разработка альтернативных контрольных процедур.</w:t>
      </w:r>
      <w:r>
        <w:rPr>
          <w:rStyle w:val="Subst"/>
          <w:bCs/>
          <w:iCs/>
        </w:rPr>
        <w:br/>
        <w:t>1.5. Контрольные процедуры в области обработки информации должны обеспечивать полноту, правильность, достоверность и своевременность этой информации.</w:t>
      </w:r>
      <w:r>
        <w:rPr>
          <w:rStyle w:val="Subst"/>
          <w:bCs/>
          <w:iCs/>
        </w:rPr>
        <w:br/>
        <w:t>2. Выполнение контрольных процедур</w:t>
      </w:r>
      <w:r>
        <w:rPr>
          <w:rStyle w:val="Subst"/>
          <w:bCs/>
          <w:iCs/>
        </w:rPr>
        <w:br/>
        <w:t>2.1. На основании нормативных документов Общества, определяющих ожидаемые результаты и порядок осуществления процессов (направлений деятельности), реализуются контрольные процедуры, встроенные в процессы (направления деятельности) и текущую деятельность работников.</w:t>
      </w:r>
      <w:r>
        <w:rPr>
          <w:rStyle w:val="Subst"/>
          <w:bCs/>
          <w:iCs/>
        </w:rPr>
        <w:br/>
        <w:t>При этом должна быть установлена ответственность и подотчетность руководителя (или иного назначенного работника) блока / подразделения, в котором имеют место выявляемые риски, за осуществление контрольных процедур.</w:t>
      </w:r>
      <w:r>
        <w:rPr>
          <w:rStyle w:val="Subst"/>
          <w:bCs/>
          <w:iCs/>
        </w:rPr>
        <w:br/>
        <w:t>2.2. Контрольные процедуры должны быть своевременными, выполняться тщательно и последовательно компетентными работниками.</w:t>
      </w:r>
      <w:r>
        <w:rPr>
          <w:rStyle w:val="Subst"/>
          <w:bCs/>
          <w:iCs/>
        </w:rPr>
        <w:br/>
        <w:t>2.3. Результаты выполнения финансово-хозяйственных операций и контрольных процедур в Обществе надлежащим образом документируются и сохраняются.</w:t>
      </w:r>
      <w:r>
        <w:rPr>
          <w:rStyle w:val="Subst"/>
          <w:bCs/>
          <w:iCs/>
        </w:rPr>
        <w:br/>
        <w:t xml:space="preserve">2.4. По результатам выполнения контрольных процедур рассматриваются вопросы о необходимости в корректирующих или других действиях, в том числе направленных на устранение выявленных отклонений, ошибок и злоупотреблений. </w:t>
      </w:r>
      <w:r>
        <w:rPr>
          <w:rStyle w:val="Subst"/>
          <w:bCs/>
          <w:iCs/>
        </w:rPr>
        <w:br/>
        <w:t>3. Мониторинг контрольных процедур</w:t>
      </w:r>
      <w:r>
        <w:rPr>
          <w:rStyle w:val="Subst"/>
          <w:bCs/>
          <w:iCs/>
        </w:rPr>
        <w:br/>
        <w:t>3.1. Мониторинг контрольных процедур включает проверку фактического выполнения контрольных процедур.</w:t>
      </w:r>
      <w:r>
        <w:rPr>
          <w:rStyle w:val="Subst"/>
          <w:bCs/>
          <w:iCs/>
        </w:rPr>
        <w:br/>
        <w:t>3.2. Мониторинг контрольных процедур может осуществляться посредством непрерывных оценок и периодических оценок либо их комбинации.</w:t>
      </w:r>
      <w:r>
        <w:rPr>
          <w:rStyle w:val="Subst"/>
          <w:bCs/>
          <w:iCs/>
        </w:rPr>
        <w:br/>
        <w:t>3.3. Периодический мониторинг контрольных процедур может проводиться руководителями структурных подразделений по курируемым ими процессам (направлениям деятельности), а также внутренними аудиторами в рамках проведения внутренних аудитов.</w:t>
      </w:r>
      <w:r>
        <w:rPr>
          <w:rStyle w:val="Subst"/>
          <w:bCs/>
          <w:iCs/>
        </w:rPr>
        <w:br/>
        <w:t>4.  Реагирование</w:t>
      </w:r>
      <w:r>
        <w:rPr>
          <w:rStyle w:val="Subst"/>
          <w:bCs/>
          <w:iCs/>
        </w:rPr>
        <w:br/>
        <w:t>4.1. В случае выявления недостатков по результатам проведения оценки (мониторинга) эффективности контрольных процедур должны осуществляться  следующие основные действия:</w:t>
      </w:r>
      <w:r>
        <w:rPr>
          <w:rStyle w:val="Subst"/>
          <w:bCs/>
          <w:iCs/>
        </w:rPr>
        <w:br/>
        <w:t>- анализ характера и причин выявленных недостатков;</w:t>
      </w:r>
      <w:r>
        <w:rPr>
          <w:rStyle w:val="Subst"/>
          <w:bCs/>
          <w:iCs/>
        </w:rPr>
        <w:br/>
        <w:t>- проведение, при необходимости, дополнительной проверки или тестирования;</w:t>
      </w:r>
      <w:r>
        <w:rPr>
          <w:rStyle w:val="Subst"/>
          <w:bCs/>
          <w:iCs/>
        </w:rPr>
        <w:br/>
        <w:t>- определение приоритетов и составление плана устранения выявленных недостатков.</w:t>
      </w:r>
      <w:r>
        <w:rPr>
          <w:rStyle w:val="Subst"/>
          <w:bCs/>
          <w:iCs/>
        </w:rPr>
        <w:br/>
        <w:t>4.2. Контроль полноты и своевременности устранения выявленных недостатков осуществляется руководителями структурных подразделений Общества.</w:t>
      </w:r>
      <w:r>
        <w:rPr>
          <w:rStyle w:val="Subst"/>
          <w:bCs/>
          <w:iCs/>
        </w:rPr>
        <w:br/>
        <w:t>4.3. По результатам проведения оценки (мониторинга) эффективности контрольных процедур рассматриваются вопросы о необходимости совершенствования контрольных процедур.</w:t>
      </w:r>
      <w:r>
        <w:rPr>
          <w:rStyle w:val="Subst"/>
          <w:bCs/>
          <w:iCs/>
        </w:rPr>
        <w:br/>
      </w:r>
      <w:r w:rsidR="00750090">
        <w:rPr>
          <w:rStyle w:val="Subst"/>
          <w:bCs/>
          <w:iCs/>
        </w:rPr>
        <w:br/>
        <w:t>2. Политика управления рисками</w:t>
      </w:r>
      <w:r>
        <w:rPr>
          <w:rStyle w:val="Subst"/>
          <w:bCs/>
          <w:iCs/>
        </w:rPr>
        <w:t xml:space="preserve"> разработана в интересах достижения целей деятельности </w:t>
      </w:r>
      <w:r>
        <w:rPr>
          <w:rStyle w:val="Subst"/>
          <w:bCs/>
          <w:iCs/>
        </w:rPr>
        <w:lastRenderedPageBreak/>
        <w:t>Общества посредством обеспечения внедрения и поддержания функционирования эффективной системы управления рисками Общества, соответствующей общепризнанным практикам и стандартам деятельности в отмеченной области. Основная цель системы управления рисками – повышение эффективности управления угрозами и возможностями, что должно способствовать процессу увеличения капитализации.</w:t>
      </w:r>
      <w:r>
        <w:rPr>
          <w:rStyle w:val="Subst"/>
          <w:bCs/>
          <w:iCs/>
        </w:rPr>
        <w:br/>
        <w:t>СУР также ставит перед собой следующие цели:</w:t>
      </w:r>
      <w:r>
        <w:rPr>
          <w:rStyle w:val="Subst"/>
          <w:bCs/>
          <w:iCs/>
        </w:rPr>
        <w:br/>
        <w:t>- разработка и применение единообразных и последовательных подходов к выявлению, оценке и управлению рисками Общества, упрощение процедур обмена информацией о рисках по вертикали (управление) и по горизонтали (обмен опытом);</w:t>
      </w:r>
      <w:r>
        <w:rPr>
          <w:rStyle w:val="Subst"/>
          <w:bCs/>
          <w:iCs/>
        </w:rPr>
        <w:br/>
        <w:t>- формирование возможности для акционеров задавать и отслеживать качество управления рисками Общества на основе четких и понятных критериев;</w:t>
      </w:r>
      <w:r>
        <w:rPr>
          <w:rStyle w:val="Subst"/>
          <w:bCs/>
          <w:iCs/>
        </w:rPr>
        <w:br/>
        <w:t>- оперативное реагирование на возникающие рисковые события, отслеживание  изменений внешней и внутренней среды;</w:t>
      </w:r>
      <w:r>
        <w:rPr>
          <w:rStyle w:val="Subst"/>
          <w:bCs/>
          <w:iCs/>
        </w:rPr>
        <w:br/>
        <w:t>- организация целенаправленной деятельности по управлению рисками с целью их снижения либо передачи третьим сторонам (страхование, хеджирование);</w:t>
      </w:r>
      <w:r>
        <w:rPr>
          <w:rStyle w:val="Subst"/>
          <w:bCs/>
          <w:iCs/>
        </w:rPr>
        <w:br/>
        <w:t>- систематизация и дальнейшее накопление информации о рисках Общества, повышение управляемости бизнеса;</w:t>
      </w:r>
      <w:r>
        <w:rPr>
          <w:rStyle w:val="Subst"/>
          <w:bCs/>
          <w:iCs/>
        </w:rPr>
        <w:br/>
        <w:t>- повышение конкурентоспособности Общества и его капитализации посредством повышения эффективности и оптимизации управления рисками.</w:t>
      </w:r>
      <w:r>
        <w:rPr>
          <w:rStyle w:val="Subst"/>
          <w:bCs/>
          <w:iCs/>
        </w:rPr>
        <w:br/>
        <w:t>Задачами системы управления рисками являются:</w:t>
      </w:r>
      <w:r>
        <w:rPr>
          <w:rStyle w:val="Subst"/>
          <w:bCs/>
          <w:iCs/>
        </w:rPr>
        <w:br/>
        <w:t>- развитие риск - ориентированной корпоративной культуры, распространение Генеральным директором и менеджментом Общества знаний и навыков в области управления рисками, а также использование возможности эффективного обмена информацией в рамках системы управления рисками;</w:t>
      </w:r>
      <w:r>
        <w:rPr>
          <w:rStyle w:val="Subst"/>
          <w:bCs/>
          <w:iCs/>
        </w:rPr>
        <w:br/>
        <w:t>- совершенствование процесса принятия решений и выбора способа реагирования на возникающие риски в интересах обеспечения экономической эффективности мероприятий по управлению рисками и экономической целесообразности;</w:t>
      </w:r>
      <w:r>
        <w:rPr>
          <w:rStyle w:val="Subst"/>
          <w:bCs/>
          <w:iCs/>
        </w:rPr>
        <w:br/>
        <w:t>- сокращение числа непредвиденных событий и убытков в хозяйственной деятельности посредством расширения возможности по выявлению потенциальных событий и принятию соответствующих мер (реагирование на риск).</w:t>
      </w:r>
      <w:r>
        <w:rPr>
          <w:rStyle w:val="Subst"/>
          <w:bCs/>
          <w:iCs/>
        </w:rPr>
        <w:br/>
        <w:t>Система управления рисками Общества строится на следующих принципах:</w:t>
      </w:r>
      <w:r>
        <w:rPr>
          <w:rStyle w:val="Subst"/>
          <w:bCs/>
          <w:iCs/>
        </w:rPr>
        <w:br/>
        <w:t>- Создание и защита ценностей Общества. Система управления рисками способствует достижению целей и улучшению производительности, обеспечению здоровья и безопасности человека, безопасности всех видов деятельности Общества, соблюдению правовых и нормативных требований, охране окружающей среды, повышению качества услуг, эффективности операций, управления и репутации.</w:t>
      </w:r>
      <w:r>
        <w:rPr>
          <w:rStyle w:val="Subst"/>
          <w:bCs/>
          <w:iCs/>
        </w:rPr>
        <w:br/>
        <w:t xml:space="preserve">- Управление рисками является неотъемлемой частью всех организационных процессов. Управление рисками не является обособленной деятельностью, которая отделена от основной деятельности и процессов в организации. Управление рисками - это часть обязательств руководства и неотъемлемая часть всех организационных процессов, включая стратегическое планирование и все процессы управления проектами и изменениями. </w:t>
      </w:r>
      <w:r>
        <w:rPr>
          <w:rStyle w:val="Subst"/>
          <w:bCs/>
          <w:iCs/>
        </w:rPr>
        <w:br/>
        <w:t>- Управление рисками является частью процесса принятия решений. Процессы планирования и принятия решений осуществляются с учетом всесторонней оценки рисков их реализации. Риски увязаны с целями Общества.</w:t>
      </w:r>
      <w:r>
        <w:rPr>
          <w:rStyle w:val="Subst"/>
          <w:bCs/>
          <w:iCs/>
        </w:rPr>
        <w:br/>
        <w:t>- Управление рисками является систематическим, структурированным и своевременным. Управление рисками представляет собой постоянно функционирующий цикличный процесс. Систематическое, регулярное и структурированное управление всеми типами рисков осуществляется по всем ключевым областям деятельности, на всех уровнях управления Обществом. При этом информация о выявленных рисках должна своевременно предоставляться лицам, уполномоченным принимать соответствующие решения.</w:t>
      </w:r>
      <w:r>
        <w:rPr>
          <w:rStyle w:val="Subst"/>
          <w:bCs/>
          <w:iCs/>
        </w:rPr>
        <w:br/>
        <w:t>- Управление рисками основывается на наилучшей доступной информации. Система управления рисками основывается на информации источников, таких как исторические данные, опыт, обратная связь заинтересованных лиц, наблюдения, прогнозы и экспертные оценки. Тем не менее, принимающие решение органы должны информировать друг друга о том, следует ли принимать во внимание, какие-либо ограничения данных, используется ли моделирование и возможно ли возникновение расхождения мнений между экспертами.</w:t>
      </w:r>
      <w:r>
        <w:rPr>
          <w:rStyle w:val="Subst"/>
          <w:bCs/>
          <w:iCs/>
        </w:rPr>
        <w:br/>
        <w:t xml:space="preserve">- Управление рисками является адаптируемым. Обществом должны обеспечиваться условия для постоянного развития СУР с учетом необходимости решения новых задач, возникающих в результате изменения внутренних и внешних условий функционирования Общества. </w:t>
      </w:r>
      <w:r>
        <w:rPr>
          <w:rStyle w:val="Subst"/>
          <w:bCs/>
          <w:iCs/>
        </w:rPr>
        <w:br/>
        <w:t>- Управление рисками является прозрачным и учитывает интересы заинтересованных сторон. Надлежащее и своевременное участие заинтересованных сторон и, в частности, лиц, принимающих решения на всех уровнях Общества, гарантирует, что СУР остается на надлежащем уровне и отвечает современным требованиям.</w:t>
      </w:r>
      <w:r>
        <w:rPr>
          <w:rStyle w:val="Subst"/>
          <w:bCs/>
          <w:iCs/>
        </w:rPr>
        <w:br/>
      </w:r>
      <w:r>
        <w:rPr>
          <w:rStyle w:val="Subst"/>
          <w:bCs/>
          <w:iCs/>
        </w:rPr>
        <w:lastRenderedPageBreak/>
        <w:t>- Управление рисками является динамичным, повторяющимся и реагирующим на изменения. Управление рисками непрерывно распознает изменения и реагирует на них. Как только происходит внешнее или внутреннее событие, ситуация или знания изменяются, осуществляются мониторинг и пересмотр рисков, включение новых рисков, изменение или исключение существующих рисков.</w:t>
      </w:r>
      <w:r>
        <w:rPr>
          <w:rStyle w:val="Subst"/>
          <w:bCs/>
          <w:iCs/>
        </w:rPr>
        <w:br/>
        <w:t>- Управление рисками способствует постоянному улучшению организации. Общество разрабатывает и применяет стратегии совершенствования управления рисками одновременно с совершенствованием иных процессов. Общество стремится к повышению уровня зрелости СУР наравне с повышением эффективности системы внутреннего контроля и управления рисками.</w:t>
      </w:r>
      <w:r>
        <w:rPr>
          <w:rStyle w:val="Subst"/>
          <w:bCs/>
          <w:iCs/>
        </w:rPr>
        <w:tab/>
      </w:r>
      <w:r>
        <w:rPr>
          <w:rStyle w:val="Subst"/>
          <w:bCs/>
          <w:iCs/>
        </w:rPr>
        <w:br/>
        <w:t>- Ответственность за управление рисками. Все участники СУР несут ответственность за выявление, оценку, анализ и непрерывный мониторинг рисков в рамках своей деятельности, разработку и внедрение необходимых мероприятий по управлению рисками, непрерывный мониторинг эффективности мероприятий по управлению рисками.</w:t>
      </w:r>
      <w:r>
        <w:rPr>
          <w:rStyle w:val="Subst"/>
          <w:bCs/>
          <w:iCs/>
        </w:rPr>
        <w:br/>
        <w:t xml:space="preserve">- Принцип оптимальности. Анализируется соотношение затрат на внедрение мероприятий по управлению рисками и эффекта от реализации этих мероприятий, в том числе соответствие между уровнем сложности СУР и </w:t>
      </w:r>
      <w:proofErr w:type="gramStart"/>
      <w:r>
        <w:rPr>
          <w:rStyle w:val="Subst"/>
          <w:bCs/>
          <w:iCs/>
        </w:rPr>
        <w:t>уровнем сложности</w:t>
      </w:r>
      <w:proofErr w:type="gramEnd"/>
      <w:r>
        <w:rPr>
          <w:rStyle w:val="Subst"/>
          <w:bCs/>
          <w:iCs/>
        </w:rPr>
        <w:t xml:space="preserve"> и степенью важности объекта, подвергаемого анализу с точки зрения рисков. Объем и сложность мер по управлению рисками должны являться необходимыми и достаточными для выполнения задач и достижения целей функционирования СУР.</w:t>
      </w:r>
      <w:r>
        <w:rPr>
          <w:rStyle w:val="Subst"/>
          <w:bCs/>
          <w:iCs/>
        </w:rPr>
        <w:br/>
      </w:r>
      <w:r>
        <w:rPr>
          <w:rStyle w:val="Subst"/>
          <w:bCs/>
          <w:iCs/>
        </w:rPr>
        <w:br/>
        <w:t>Управление рисками является непрерывным и цикличным процессом в составе общей системы управления Обществом, включающим следующие основные этапы.</w:t>
      </w:r>
      <w:r>
        <w:rPr>
          <w:rStyle w:val="Subst"/>
          <w:bCs/>
          <w:iCs/>
        </w:rPr>
        <w:br/>
        <w:t>1. Определение целей</w:t>
      </w:r>
      <w:r>
        <w:rPr>
          <w:rStyle w:val="Subst"/>
          <w:bCs/>
          <w:iCs/>
        </w:rPr>
        <w:br/>
        <w:t>1.1. Управление рисками основывается на системе четких, ясных и измеримых целей Общества, формулируемых акционерами, органами управления и менеджментом Общества.</w:t>
      </w:r>
      <w:r>
        <w:rPr>
          <w:rStyle w:val="Subst"/>
          <w:bCs/>
          <w:iCs/>
        </w:rPr>
        <w:br/>
        <w:t>1.2. Характер событий и степень их влияния на цели Общества зависят от влияния внешней и внутренней ситуации (среды). Посредством определения ситуации Общество устанавливает параметры внутренней и внешней среды, которые следует принимать во внимание при управлении рисками и подготовке предложений по совершенствованию системы управления рисками, области применения СУР и уточнению критериев рисков.</w:t>
      </w:r>
      <w:r>
        <w:rPr>
          <w:rStyle w:val="Subst"/>
          <w:bCs/>
          <w:iCs/>
        </w:rPr>
        <w:br/>
        <w:t>2. Идентификация рисков</w:t>
      </w:r>
      <w:r>
        <w:rPr>
          <w:rStyle w:val="Subst"/>
          <w:bCs/>
          <w:iCs/>
        </w:rPr>
        <w:br/>
        <w:t>2.1 Идентификация рисков - выявление (обнаружение) рисков, их распознавание/анализ и описание. Своевременная идентификация рисков является одним из ключевых факторов для обеспечения достижения Обществом поставленных целей и задач. Для каждой цели выявляется, по возможности, полный спектр рисков, реализация которых может повлиять на ее достижение.</w:t>
      </w:r>
      <w:r>
        <w:rPr>
          <w:rStyle w:val="Subst"/>
          <w:bCs/>
          <w:iCs/>
        </w:rPr>
        <w:br/>
        <w:t>2.2. СУР в первую очередь ориентирована на выявление потенциальных рисков до их возникновения, или на ранней стадии их возникновения.</w:t>
      </w:r>
      <w:r>
        <w:rPr>
          <w:rStyle w:val="Subst"/>
          <w:bCs/>
          <w:iCs/>
        </w:rPr>
        <w:br/>
        <w:t>3. Оценка рисков</w:t>
      </w:r>
      <w:r>
        <w:rPr>
          <w:rStyle w:val="Subst"/>
          <w:bCs/>
          <w:iCs/>
        </w:rPr>
        <w:br/>
        <w:t>3.1. Оценка рисков - определение (измерение) вероятности и последствий рисков, сопоставление измерений с критериями рисков с целью принятия решения о необходимости воздействия на риск и установления приоритета воздействия на риск.</w:t>
      </w:r>
      <w:r>
        <w:rPr>
          <w:rStyle w:val="Subst"/>
          <w:bCs/>
          <w:iCs/>
        </w:rPr>
        <w:br/>
        <w:t>3.2. Оценка риска может носить качественный или количественный характер. Применяются различные методы оценки рисков в зависимости от специфики рисков и применимости тех или иных методов оценки.</w:t>
      </w:r>
      <w:r>
        <w:rPr>
          <w:rStyle w:val="Subst"/>
          <w:bCs/>
          <w:iCs/>
        </w:rPr>
        <w:br/>
        <w:t>3.3. Результаты оценки рисков регулярно пересматриваются.</w:t>
      </w:r>
      <w:r>
        <w:rPr>
          <w:rStyle w:val="Subst"/>
          <w:bCs/>
          <w:iCs/>
        </w:rPr>
        <w:br/>
        <w:t>4. Реагирование на риски</w:t>
      </w:r>
      <w:r>
        <w:rPr>
          <w:rStyle w:val="Subst"/>
          <w:bCs/>
          <w:iCs/>
        </w:rPr>
        <w:br/>
        <w:t>4.1. На основе результатов оценки рисков определяется отношение к рискам и принимаются решения о методах реагирования на риски. Своевременное реагирование на риски является одним из ключевых факторов для обеспечения достижения Обществом поставленных целей и задач.</w:t>
      </w:r>
      <w:r>
        <w:rPr>
          <w:rStyle w:val="Subst"/>
          <w:bCs/>
          <w:iCs/>
        </w:rPr>
        <w:br/>
        <w:t>4.2. Общество применяет следующие основные методы реагирования на риски:</w:t>
      </w:r>
      <w:r>
        <w:rPr>
          <w:rStyle w:val="Subst"/>
          <w:bCs/>
          <w:iCs/>
        </w:rPr>
        <w:br/>
        <w:t>- отказ (уклонение) от риска - отказ от деятельности, сопровождающейся неприемлемым (выше заданной величины) уровнем риска;</w:t>
      </w:r>
      <w:r>
        <w:rPr>
          <w:rStyle w:val="Subst"/>
          <w:bCs/>
          <w:iCs/>
        </w:rPr>
        <w:br/>
        <w:t xml:space="preserve">- принятие риска на себя (самострахование) – изыскание средств и создание резервов внутри компании для минимизации возможных потерь при наступлении риска. Реализуется с помощью использования диверсификации, создания страховых запасов, резервов, использования нормирования и лимитирования расходов; </w:t>
      </w:r>
      <w:r>
        <w:rPr>
          <w:rStyle w:val="Subst"/>
          <w:bCs/>
          <w:iCs/>
        </w:rPr>
        <w:br/>
        <w:t xml:space="preserve">- передача (перераспределение) риска - разделение риска с другой стороной (включая контракты </w:t>
      </w:r>
      <w:r w:rsidR="00750090">
        <w:rPr>
          <w:rStyle w:val="Subst"/>
          <w:bCs/>
          <w:iCs/>
        </w:rPr>
        <w:t xml:space="preserve">подряда, аренды и пр., а также </w:t>
      </w:r>
      <w:r>
        <w:rPr>
          <w:rStyle w:val="Subst"/>
          <w:bCs/>
          <w:iCs/>
        </w:rPr>
        <w:t>договоры страхования).</w:t>
      </w:r>
      <w:r>
        <w:rPr>
          <w:rStyle w:val="Subst"/>
          <w:bCs/>
          <w:iCs/>
        </w:rPr>
        <w:br/>
        <w:t>Для реагирования на конкретный риск может быть использован как один, так и несколько перечисленных методов.</w:t>
      </w:r>
      <w:r>
        <w:rPr>
          <w:rStyle w:val="Subst"/>
          <w:bCs/>
          <w:iCs/>
        </w:rPr>
        <w:br/>
        <w:t>4.3. При выборе метода реагирования на риски должны учитываться:</w:t>
      </w:r>
      <w:r>
        <w:rPr>
          <w:rStyle w:val="Subst"/>
          <w:bCs/>
          <w:iCs/>
        </w:rPr>
        <w:br/>
      </w:r>
      <w:r>
        <w:rPr>
          <w:rStyle w:val="Subst"/>
          <w:bCs/>
          <w:iCs/>
        </w:rPr>
        <w:lastRenderedPageBreak/>
        <w:t>- оценка соотношения затрат и выгод от потенциальной реакции на риск;</w:t>
      </w:r>
      <w:r>
        <w:rPr>
          <w:rStyle w:val="Subst"/>
          <w:bCs/>
          <w:iCs/>
        </w:rPr>
        <w:br/>
        <w:t>- оценка воздействия на вероятность и последствия риска.</w:t>
      </w:r>
      <w:r>
        <w:rPr>
          <w:rStyle w:val="Subst"/>
          <w:bCs/>
          <w:iCs/>
        </w:rPr>
        <w:br/>
        <w:t>4.4. После выбора метода реагирования на риск разрабатывается план мероприятий по управлению риском. Планы мероприятий по управлению рисками     должны     быть     включены     в    бизнес-процессы     Общества    и предварительно обсуждаться со всеми заинтересованными сторонами.</w:t>
      </w:r>
      <w:r>
        <w:rPr>
          <w:rStyle w:val="Subst"/>
          <w:bCs/>
          <w:iCs/>
        </w:rPr>
        <w:br/>
        <w:t>4.5. Мероприятия по управлению рисками могут быть:</w:t>
      </w:r>
      <w:r>
        <w:rPr>
          <w:rStyle w:val="Subst"/>
          <w:bCs/>
          <w:iCs/>
        </w:rPr>
        <w:br/>
        <w:t>- превентивными - направленными на устранение источника (фактора) риска, влияющими на источники (факторы), снижения вероятности и/или последствий риска;</w:t>
      </w:r>
      <w:r>
        <w:rPr>
          <w:rStyle w:val="Subst"/>
          <w:bCs/>
          <w:iCs/>
        </w:rPr>
        <w:br/>
        <w:t xml:space="preserve">- </w:t>
      </w:r>
      <w:proofErr w:type="spellStart"/>
      <w:r>
        <w:rPr>
          <w:rStyle w:val="Subst"/>
          <w:bCs/>
          <w:iCs/>
        </w:rPr>
        <w:t>послесобытийными</w:t>
      </w:r>
      <w:proofErr w:type="spellEnd"/>
      <w:r>
        <w:rPr>
          <w:rStyle w:val="Subst"/>
          <w:bCs/>
          <w:iCs/>
        </w:rPr>
        <w:t xml:space="preserve"> – направленными на минимизацию последствий наступивших событий;</w:t>
      </w:r>
      <w:r>
        <w:rPr>
          <w:rStyle w:val="Subst"/>
          <w:bCs/>
          <w:iCs/>
        </w:rPr>
        <w:br/>
        <w:t>- чрезвычайными    -   направленными   на   устранения    последствий непредвиденных реализовавшихся рисков.</w:t>
      </w:r>
      <w:r>
        <w:rPr>
          <w:rStyle w:val="Subst"/>
          <w:bCs/>
          <w:iCs/>
        </w:rPr>
        <w:br/>
        <w:t>4.6. Общество признает наличие остаточного риска ввиду неустранимой неопределенности относительно будущего, ресурсных и иных ограничений, присущих деятельности Общества в целом.</w:t>
      </w:r>
      <w:r>
        <w:rPr>
          <w:rStyle w:val="Subst"/>
          <w:bCs/>
          <w:iCs/>
        </w:rPr>
        <w:br/>
        <w:t>4.7. Определив методы реагирования на риск, Общество определяет средства контроля, необходимые для обеспечения надлежащего и своевременно</w:t>
      </w:r>
      <w:r w:rsidR="00750090">
        <w:rPr>
          <w:rStyle w:val="Subst"/>
          <w:bCs/>
          <w:iCs/>
        </w:rPr>
        <w:t>го реагирования на риски.</w:t>
      </w:r>
      <w:r w:rsidR="00750090">
        <w:rPr>
          <w:rStyle w:val="Subst"/>
          <w:bCs/>
          <w:iCs/>
        </w:rPr>
        <w:br/>
        <w:t xml:space="preserve">5. </w:t>
      </w:r>
      <w:r>
        <w:rPr>
          <w:rStyle w:val="Subst"/>
          <w:bCs/>
          <w:iCs/>
        </w:rPr>
        <w:t>Мониторинг рисков</w:t>
      </w:r>
      <w:r>
        <w:rPr>
          <w:rStyle w:val="Subst"/>
          <w:bCs/>
          <w:iCs/>
        </w:rPr>
        <w:br/>
        <w:t>5.1. Мониторинг рисков - постоянная проверка, надзор, критическое наблюдение, обследование и определение состояния рисков, управления рисками и системы управления рисками с целью выявить изменения относительно требуемого или ожидаемого уровня.</w:t>
      </w:r>
      <w:r>
        <w:rPr>
          <w:rStyle w:val="Subst"/>
          <w:bCs/>
          <w:iCs/>
        </w:rPr>
        <w:br/>
        <w:t>5.2. Мониторинг рисков охватывает все аспекты процесса управления рисками.</w:t>
      </w:r>
      <w:r>
        <w:rPr>
          <w:rStyle w:val="Subst"/>
          <w:bCs/>
          <w:iCs/>
        </w:rPr>
        <w:br/>
        <w:t>5.3. Мониторинг осуществляется:</w:t>
      </w:r>
      <w:r>
        <w:rPr>
          <w:rStyle w:val="Subst"/>
          <w:bCs/>
          <w:iCs/>
        </w:rPr>
        <w:br/>
        <w:t xml:space="preserve">- в ходе текущей деятельности (текущий мониторинг); </w:t>
      </w:r>
      <w:r>
        <w:rPr>
          <w:rStyle w:val="Subst"/>
          <w:bCs/>
          <w:iCs/>
        </w:rPr>
        <w:br/>
        <w:t>- путем проведения периодических проверок.</w:t>
      </w:r>
      <w:r>
        <w:rPr>
          <w:rStyle w:val="Subst"/>
          <w:bCs/>
          <w:iCs/>
        </w:rPr>
        <w:br/>
        <w:t>5.4. Текущий мониторинг осуществляется в ходе обычной управленческой деятельности, в том числе путем контроля динамики рисков, отслеживания значений ключевых индикаторов рисков.</w:t>
      </w:r>
      <w:r>
        <w:rPr>
          <w:rStyle w:val="Subst"/>
          <w:bCs/>
          <w:iCs/>
        </w:rPr>
        <w:br/>
        <w:t>5.5. Периодические проверки с целью оценки и определение состояния рисков и управления рисками осуществляются путем проведения самооценки владельцами рисков.</w:t>
      </w:r>
      <w:r>
        <w:rPr>
          <w:rStyle w:val="Subst"/>
          <w:bCs/>
          <w:iCs/>
        </w:rPr>
        <w:br/>
        <w:t>5.6. Результаты мониторинга могут являться основанием для пересмотра состава рисков, их оценки, методов реагирования на риски, мероприятий по управлению рисками, а также организационных мер, методик и процедур, создаваемых и используемых для эффективного осуществления управления рисками.</w:t>
      </w:r>
      <w:r>
        <w:rPr>
          <w:rStyle w:val="Subst"/>
          <w:bCs/>
          <w:iCs/>
        </w:rPr>
        <w:br/>
      </w:r>
      <w:r>
        <w:rPr>
          <w:rStyle w:val="Subst"/>
          <w:bCs/>
          <w:iCs/>
        </w:rPr>
        <w:br/>
        <w:t>3. В соответствии с Политикой внутреннего аудита Публичного акционерного общества "Мордовская энергосбытовая компания", внутренний аудит осуществляется в целях содействия в повышении эффективности управления Обществом и совершенствовании его финансово-хозяйственной деятельности. Решением Совета директоров ПАО "Мордовская энергосбытовая компания" от 05.03.2021 г. (Протокол №241 от 05.03.2021 г.) утверждена Политика внутреннего аудита Публичного акционерного общества "Мордовская энергосбытовая компания".</w:t>
      </w:r>
      <w:r>
        <w:rPr>
          <w:rStyle w:val="Subst"/>
          <w:bCs/>
          <w:iCs/>
        </w:rPr>
        <w:br/>
        <w:t xml:space="preserve">При осуществлении внутреннего аудита в Обществе применяются общепринятые стандарты деятельности в области внутреннего аудита. План деятельности внутреннего аудита формируется Внутренним аудитором на календарный год (или иной период) и предоставляется на утверждение Комитету по аудиту. </w:t>
      </w:r>
      <w:r>
        <w:rPr>
          <w:rStyle w:val="Subst"/>
          <w:bCs/>
          <w:iCs/>
        </w:rPr>
        <w:br/>
        <w:t xml:space="preserve">Конкретный характер и объем аудиторских процедур, которые необходимо выполнить в ходе проведения проверки, включая анализ эффективности управления рисками, присущими объекту аудита, определяется Внутренним аудитором в зависимости от целей проверки и согласовывается с комитетом по аудиту. </w:t>
      </w:r>
      <w:r>
        <w:rPr>
          <w:rStyle w:val="Subst"/>
          <w:bCs/>
          <w:iCs/>
        </w:rPr>
        <w:br/>
        <w:t xml:space="preserve">По итогам внутренней аудиторской проверки оформляется отчет, при подготовке которого Внутренний аудитор определяет такой уровень формализации и документирования, который является приемлемым для Общества. </w:t>
      </w:r>
      <w:r>
        <w:rPr>
          <w:rStyle w:val="Subst"/>
          <w:bCs/>
          <w:iCs/>
        </w:rPr>
        <w:br/>
        <w:t>Внутренний аудитор может разработать систему мониторинга выполнения планов мероприятий, подготовленных по результатам проверок, с целью подтверждения адекватности, эффективности и своевременности действий, предпринимаемых в Обществе для устранения недостатков, реализации рекомендаций.</w:t>
      </w:r>
      <w:r>
        <w:rPr>
          <w:rStyle w:val="Subst"/>
          <w:bCs/>
          <w:iCs/>
        </w:rPr>
        <w:br/>
        <w:t>Основными инструментами мониторинга являются получение и анализ информации от объектов аудита о результатах выполнения плана мероприятий, а также проведение последующих аудитов для подтверждения эффективности реализованных мер.</w:t>
      </w:r>
      <w:r>
        <w:rPr>
          <w:rStyle w:val="Subst"/>
          <w:bCs/>
          <w:iCs/>
        </w:rPr>
        <w:br/>
        <w:t>В деятельности внутреннего аудита должны соблюдаться принципы независимости и объективности.</w:t>
      </w:r>
      <w:r>
        <w:rPr>
          <w:rStyle w:val="Subst"/>
          <w:bCs/>
          <w:iCs/>
        </w:rPr>
        <w:br/>
        <w:t xml:space="preserve">Внутренний аудитор обязан избегать любого конфликта интересов. </w:t>
      </w:r>
      <w:r>
        <w:rPr>
          <w:rStyle w:val="Subst"/>
          <w:bCs/>
          <w:iCs/>
        </w:rPr>
        <w:br/>
        <w:t xml:space="preserve">Внутренний аудитор формулирует заключение внутреннего аудита по результатам оценки надежности и эффективности управления рисками и внутреннего контроля, а также </w:t>
      </w:r>
      <w:r>
        <w:rPr>
          <w:rStyle w:val="Subst"/>
          <w:bCs/>
          <w:iCs/>
        </w:rPr>
        <w:lastRenderedPageBreak/>
        <w:t>корпоративного управления Общества за определенный период времени (включая отчетный период).</w:t>
      </w:r>
      <w:r>
        <w:rPr>
          <w:rStyle w:val="Subst"/>
          <w:bCs/>
          <w:iCs/>
        </w:rPr>
        <w:br/>
        <w:t>Внутренний аудитор осуществляет координацию взаимодействия внутреннего аудита с аудитором Общества (внешний аудитор), включая, но не ограничиваясь, следующими вопросами:</w:t>
      </w:r>
      <w:r>
        <w:rPr>
          <w:rStyle w:val="Subst"/>
          <w:bCs/>
          <w:iCs/>
        </w:rPr>
        <w:br/>
        <w:t>- обсуждение планов деятельности внутреннего аудита и аудитора Общества с целью их координации и минимизации двойной работы;</w:t>
      </w:r>
      <w:r>
        <w:rPr>
          <w:rStyle w:val="Subst"/>
          <w:bCs/>
          <w:iCs/>
        </w:rPr>
        <w:br/>
        <w:t>- обмена информацией о результатах оценки надежности и эффективности управления рисками и внутреннего контроля Общества в части контроля за подготовкой бухгалтерской (финансовой) отчетности;</w:t>
      </w:r>
      <w:r>
        <w:rPr>
          <w:rStyle w:val="Subst"/>
          <w:bCs/>
          <w:iCs/>
        </w:rPr>
        <w:br/>
        <w:t>- анализа эффективности внедрения корректирующих мероприятий, направленных на устранение недостатков управления рисками и внутреннего контроля Общества, в том числе контроля за подготовкой бухгалтерской (финансовой) отчетности.</w:t>
      </w:r>
      <w:r>
        <w:rPr>
          <w:rStyle w:val="Subst"/>
          <w:bCs/>
          <w:iCs/>
        </w:rPr>
        <w:br/>
        <w:t>В области проведения внутреннего аудита комитет по аудиту:</w:t>
      </w:r>
      <w:r>
        <w:rPr>
          <w:rStyle w:val="Subst"/>
          <w:bCs/>
          <w:iCs/>
        </w:rPr>
        <w:br/>
        <w:t>- До вынесения на рассмотрение Совета директоров предварительно рассматривает проект политики внутреннего аудита Общества, а также последующие изменения в такую политику;</w:t>
      </w:r>
      <w:r>
        <w:rPr>
          <w:rStyle w:val="Subst"/>
          <w:bCs/>
          <w:iCs/>
        </w:rPr>
        <w:br/>
        <w:t>- На периодической основе (ежегодно и (или) чаще по мере необходимости) осуществляет оценку политики внутреннего аудита в Обществе, в том числе на предмет соответствия организации внутреннего аудита текущим потребностям Общества;</w:t>
      </w:r>
      <w:r>
        <w:rPr>
          <w:rStyle w:val="Subst"/>
          <w:bCs/>
          <w:iCs/>
        </w:rPr>
        <w:br/>
        <w:t>- Предварительно рассматривает предложения о назначении (освобождении от должности) Внутреннего аудитора, ключевых показателях эффективности Внутреннего аудитора;</w:t>
      </w:r>
      <w:r>
        <w:rPr>
          <w:rStyle w:val="Subst"/>
          <w:bCs/>
          <w:iCs/>
        </w:rPr>
        <w:br/>
        <w:t>- Предварительно рассматривает ежегодный план и отчет деятельности внутреннего аудита;</w:t>
      </w:r>
      <w:r>
        <w:rPr>
          <w:rStyle w:val="Subst"/>
          <w:bCs/>
          <w:iCs/>
        </w:rPr>
        <w:br/>
        <w:t>- Оценивает условия осуществления в Обществе внутреннего аудита: наличие всех необходимых ресурсов, доступа к необходимой информации в Обществе, убеждается в отсутствии ограничений или препятствий для выполнения функций внутреннего аудита в Обществе в соответствии с профессиональными стандартами аудиторской деятельности;</w:t>
      </w:r>
      <w:r>
        <w:rPr>
          <w:rStyle w:val="Subst"/>
          <w:bCs/>
          <w:iCs/>
        </w:rPr>
        <w:br/>
        <w:t>- Проводит оценку независимости и объективности внутреннего аудита;</w:t>
      </w:r>
      <w:r>
        <w:rPr>
          <w:rStyle w:val="Subst"/>
          <w:bCs/>
          <w:iCs/>
        </w:rPr>
        <w:br/>
        <w:t>- Обеспечивает возможность обращения Внутреннего аудитора Общества непосредственно к председателю и членам комитета по аудиту и председателю Совета директоров;</w:t>
      </w:r>
      <w:r>
        <w:rPr>
          <w:rStyle w:val="Subst"/>
          <w:bCs/>
          <w:iCs/>
        </w:rPr>
        <w:br/>
        <w:t>- На ежегодной основе рассматривает результаты внутренней оценки функции внутреннего аудита.</w:t>
      </w:r>
      <w:r>
        <w:rPr>
          <w:rStyle w:val="Subst"/>
          <w:bCs/>
          <w:iCs/>
        </w:rPr>
        <w:br/>
        <w:t>- Рассматривает результаты внешней оценки внутреннего аудита Общества и представляет их Совету директоров.</w:t>
      </w:r>
      <w:r>
        <w:rPr>
          <w:rStyle w:val="Subst"/>
          <w:bCs/>
          <w:iCs/>
        </w:rPr>
        <w:br/>
        <w:t>Внутренний аудитор осуществляет координацию взаимодействия с другими подразделениями Общества, которые в рамках своих полномочий проводят проверки эффективности управления рисками и внутреннего контроля во вверенных им областях или консультирование подразделений и работников Общества.</w:t>
      </w:r>
      <w:r>
        <w:rPr>
          <w:rStyle w:val="Subst"/>
          <w:bCs/>
          <w:iCs/>
        </w:rPr>
        <w:br/>
        <w:t>Внутренний аудитор определяет круг таких подразделений, исходя из вида и объема информации, которая может быть ими предоставлена, характер которой позволяет внутреннему аудиту использовать ее при оценке надежности и эффективности управления рисками и внутреннего контроля, а также корпоративного управления.</w:t>
      </w:r>
      <w:r>
        <w:rPr>
          <w:rStyle w:val="Subst"/>
          <w:bCs/>
          <w:iCs/>
        </w:rPr>
        <w:br/>
        <w:t>Оценка деятельности внутреннего аудита может быть осуществлена путем текущего мониторинга и внутренней оценки, внешней оценки.</w:t>
      </w:r>
      <w:r>
        <w:rPr>
          <w:rStyle w:val="Subst"/>
          <w:bCs/>
          <w:iCs/>
        </w:rPr>
        <w:br/>
        <w:t>К мероприятиям текущего мониторинга относятся, включая, но не ограничиваясь:</w:t>
      </w:r>
      <w:r>
        <w:rPr>
          <w:rStyle w:val="Subst"/>
          <w:bCs/>
          <w:iCs/>
        </w:rPr>
        <w:br/>
        <w:t>- контроль за выполнением внутренних аудиторских проверок, в том числе с применением средств автоматизации;</w:t>
      </w:r>
      <w:r>
        <w:rPr>
          <w:rStyle w:val="Subst"/>
          <w:bCs/>
          <w:iCs/>
        </w:rPr>
        <w:br/>
        <w:t>- применение стандартизированных практик работы внутреннего аудита: процедуры планирования и выполнения внутренних аудиторских проверок, оформления рабочей документации, подготовки отчетов и др.;</w:t>
      </w:r>
      <w:r>
        <w:rPr>
          <w:rStyle w:val="Subst"/>
          <w:bCs/>
          <w:iCs/>
        </w:rPr>
        <w:br/>
        <w:t>- получение обратной связи от объектов аудита, исполнительных органов и Совета директоров Общества;</w:t>
      </w:r>
      <w:r>
        <w:rPr>
          <w:rStyle w:val="Subst"/>
          <w:bCs/>
          <w:iCs/>
        </w:rPr>
        <w:br/>
        <w:t>- анализ выполнения ключевых показателей эффективности деятельности внутреннего аудита.</w:t>
      </w:r>
      <w:r>
        <w:rPr>
          <w:rStyle w:val="Subst"/>
          <w:bCs/>
          <w:iCs/>
        </w:rPr>
        <w:br/>
        <w:t>Внутренняя оценка предусматривает более комплексный подход к анализу деятельности внутреннего аудита и помимо мероприятий, предусмотренных для текущего мониторинга, может включать:</w:t>
      </w:r>
      <w:r>
        <w:rPr>
          <w:rStyle w:val="Subst"/>
          <w:bCs/>
          <w:iCs/>
        </w:rPr>
        <w:br/>
        <w:t xml:space="preserve">- всесторонний анализ соответствия деятельности внутреннего аудита Общества; </w:t>
      </w:r>
      <w:r>
        <w:rPr>
          <w:rStyle w:val="Subst"/>
          <w:bCs/>
          <w:iCs/>
        </w:rPr>
        <w:br/>
        <w:t>- сравнение с лучшими практиками внутреннего аудита;</w:t>
      </w:r>
      <w:r>
        <w:rPr>
          <w:rStyle w:val="Subst"/>
          <w:bCs/>
          <w:iCs/>
        </w:rPr>
        <w:br/>
        <w:t>- анализ вклада внутреннего аудита в процессы корпоративного управления, управления рисками и внутреннего контроля, а также степени соответствия ожиданиям исполнительных органов и Совета директоров Общества.</w:t>
      </w:r>
      <w:r>
        <w:rPr>
          <w:rStyle w:val="Subst"/>
          <w:bCs/>
          <w:iCs/>
        </w:rPr>
        <w:br/>
        <w:t xml:space="preserve">Внешняя оценка деятельности внутреннего аудита может проводиться с целью получения Внутренним аудитором, исполнительными органами, Советом директоров Общества независимого мнения о качестве внутреннего аудита и возможности полагаться на заключение внутреннего аудита об оценке надежности и эффективности управления рисками и внутреннего </w:t>
      </w:r>
      <w:r>
        <w:rPr>
          <w:rStyle w:val="Subst"/>
          <w:bCs/>
          <w:iCs/>
        </w:rPr>
        <w:lastRenderedPageBreak/>
        <w:t>контроля, а также эффективности корпоративного управления в Обществе.</w:t>
      </w:r>
      <w:r>
        <w:rPr>
          <w:rStyle w:val="Subst"/>
          <w:bCs/>
          <w:iCs/>
        </w:rPr>
        <w:br/>
        <w:t xml:space="preserve">Внешняя оценка деятельности внутреннего аудита проводится по решению Совета директоров. </w:t>
      </w:r>
      <w:r>
        <w:rPr>
          <w:rStyle w:val="Subst"/>
          <w:bCs/>
          <w:iCs/>
        </w:rPr>
        <w:br/>
      </w:r>
      <w:r>
        <w:rPr>
          <w:rStyle w:val="Subst"/>
          <w:bCs/>
          <w:iCs/>
        </w:rPr>
        <w:br/>
        <w:t>4.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ПАО "Мордовская энергосбытовая компания" направлены на формирование в деятельности Общества эффективной системы внутреннего контроля в части противодействия неправомерному использованию инсайдерской информации и (или) манипулированию рынком с учетом объема и характера осуществляемых инсайдером операций, уровня и сочетания присущих его деятельности рисков. Утверждены решением Совета директоров ПАО "Мордовская энергосбытовая компания" от 26.03.2021 г. (Протокол № 242 от 26.03.2021 г.).</w:t>
      </w:r>
      <w:r>
        <w:rPr>
          <w:rStyle w:val="Subst"/>
          <w:bCs/>
          <w:iCs/>
        </w:rPr>
        <w:br/>
        <w:t>Система внутреннего контроля эмитента построена по модели «Трех линий защиты», в соответствии с которой обязанности в рамках управления рисками и внутреннего контроля распределены между органами управления, подразделениями, имеющими доступ к инсайдерской информации, и структурным подразделением, осуществляющим внутренний контроль, в том числе ВК по ПНИИМР.</w:t>
      </w:r>
      <w:r>
        <w:rPr>
          <w:rStyle w:val="Subst"/>
          <w:bCs/>
          <w:iCs/>
        </w:rPr>
        <w:br/>
        <w:t>Первой линией защиты являются работники подразделений эмитента, имеющих доступ к инсайдерской информации, участвующие в выявлении, оценке и управлении рисками, присущими ежедневной деятельности, а также разработке и реализации политик и процедур, регламентирующих действующие бизнес-процессы.</w:t>
      </w:r>
      <w:r>
        <w:rPr>
          <w:rStyle w:val="Subst"/>
          <w:bCs/>
          <w:iCs/>
        </w:rPr>
        <w:br/>
        <w:t>Второй линией защиты является ответственное структурное подразделение, осуществляющее непрерывный мониторинг и управление рисками, а также осуществляющее контрольные функции за соответствием деятельности, осуществляемой эмитентом, требованиям федеральных законов и принятых в соответствии с ними нормативных актов, учредительным и внутренним документам Общества по направлениям:</w:t>
      </w:r>
      <w:r>
        <w:rPr>
          <w:rStyle w:val="Subst"/>
          <w:bCs/>
          <w:iCs/>
        </w:rPr>
        <w:br/>
        <w:t>- обеспечение информационной безопасности в информационной сфере;</w:t>
      </w:r>
      <w:r>
        <w:rPr>
          <w:rStyle w:val="Subst"/>
          <w:bCs/>
          <w:iCs/>
        </w:rPr>
        <w:br/>
        <w:t>- соблюдение законодательства Российской Федерации, учредительных и внутренних документов эмитента;</w:t>
      </w:r>
      <w:r>
        <w:rPr>
          <w:rStyle w:val="Subst"/>
          <w:bCs/>
          <w:iCs/>
        </w:rPr>
        <w:br/>
        <w:t>- исключение вовлечения эмитента и его работников в осуществление противоправной и недобросовестной деятельности;</w:t>
      </w:r>
      <w:r>
        <w:rPr>
          <w:rStyle w:val="Subst"/>
          <w:bCs/>
          <w:iCs/>
        </w:rPr>
        <w:br/>
        <w:t>- исключение неправомерного использования инсайдерской информации и (или) манипулирования рынком.</w:t>
      </w:r>
      <w:r>
        <w:rPr>
          <w:rStyle w:val="Subst"/>
          <w:bCs/>
          <w:iCs/>
        </w:rPr>
        <w:br/>
        <w:t>Третьей линией защиты является единоличный исполнительный орган эмитента – Генеральный директор, определяющий принципы и подходы к организации системы управления рисками и внутреннего контроля в соответствии с Уставом и положениями об органах управления.</w:t>
      </w:r>
    </w:p>
    <w:p w:rsidR="0076611B" w:rsidRDefault="0076611B" w:rsidP="00E223A1">
      <w:pPr>
        <w:ind w:left="200"/>
        <w:jc w:val="both"/>
      </w:pPr>
      <w:r>
        <w:rPr>
          <w:rStyle w:val="Subst"/>
          <w:bCs/>
          <w:iCs/>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302DD8" w:rsidRDefault="0076611B" w:rsidP="00E223A1">
      <w:pPr>
        <w:ind w:left="200"/>
        <w:jc w:val="both"/>
        <w:rPr>
          <w:rStyle w:val="Subst"/>
          <w:bCs/>
          <w:iCs/>
        </w:rPr>
      </w:pPr>
      <w: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br/>
      </w:r>
      <w:r>
        <w:rPr>
          <w:rStyle w:val="Subst"/>
          <w:bCs/>
          <w:iCs/>
        </w:rPr>
        <w:t xml:space="preserve">25.08.2022 г. Советом директоров Общества (Протокол №262 от 25.08.2022 г.) было утверждено Положение об инсайдерской информации Публичного акционерного общества "Мордовская энергосбытовая компания" в новой редакции. До этого действовало Положение об инсайдерской информации, утв. решением Совета директоров 26.03.2021 г. (Протокол № 242 от 26.03.2021 г.) </w:t>
      </w:r>
      <w:r>
        <w:rPr>
          <w:rStyle w:val="Subst"/>
          <w:bCs/>
          <w:iCs/>
        </w:rPr>
        <w:br/>
        <w:t>22.02.2023 г. Советом директоров Общества (Протокол №269 от 22.02.2023 г.) были утверждены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Публичного акционерного общества "Мордовская энергосбытовая компания" в новой редакции.</w:t>
      </w:r>
      <w:r>
        <w:rPr>
          <w:rStyle w:val="Subst"/>
          <w:bCs/>
          <w:iCs/>
        </w:rPr>
        <w:br/>
        <w:t>26.12.2022 г. Генеральным директором Общества был утвержден собственный Перечень инсайдерской информации Публичного акционерного общества "Мордовская энергосбытовая компания" (в новой редакции).</w:t>
      </w:r>
      <w:r>
        <w:rPr>
          <w:rStyle w:val="Subst"/>
          <w:bCs/>
          <w:iCs/>
        </w:rPr>
        <w:br/>
        <w:t xml:space="preserve">Адреса страниц в сети Интернет, на которых в свободном доступе размещен их полный текст: </w:t>
      </w:r>
    </w:p>
    <w:p w:rsidR="00302DD8" w:rsidRDefault="008D47EC" w:rsidP="00E223A1">
      <w:pPr>
        <w:ind w:left="200"/>
        <w:jc w:val="both"/>
        <w:rPr>
          <w:rStyle w:val="Subst"/>
          <w:bCs/>
          <w:iCs/>
        </w:rPr>
      </w:pPr>
      <w:hyperlink r:id="rId15" w:history="1">
        <w:r w:rsidR="00302DD8" w:rsidRPr="00F250EF">
          <w:rPr>
            <w:rStyle w:val="a5"/>
            <w:bCs/>
            <w:iCs/>
          </w:rPr>
          <w:t>www.mesk.ru/raskrytie_informacyi/raskrytie_informatsii_emitentom/doc-166.php</w:t>
        </w:r>
      </w:hyperlink>
    </w:p>
    <w:p w:rsidR="00302DD8" w:rsidRDefault="0076611B" w:rsidP="00E223A1">
      <w:pPr>
        <w:ind w:left="200"/>
        <w:jc w:val="both"/>
        <w:rPr>
          <w:rStyle w:val="Subst"/>
          <w:bCs/>
          <w:iCs/>
        </w:rPr>
      </w:pPr>
      <w:r>
        <w:rPr>
          <w:rStyle w:val="Subst"/>
          <w:bCs/>
          <w:iCs/>
        </w:rPr>
        <w:t xml:space="preserve"> и </w:t>
      </w:r>
    </w:p>
    <w:p w:rsidR="0076611B" w:rsidRPr="00302DD8" w:rsidRDefault="008D47EC" w:rsidP="00302DD8">
      <w:pPr>
        <w:ind w:left="200"/>
        <w:jc w:val="both"/>
        <w:rPr>
          <w:b/>
          <w:bCs/>
          <w:i/>
          <w:iCs/>
        </w:rPr>
      </w:pPr>
      <w:hyperlink r:id="rId16" w:history="1">
        <w:r w:rsidR="00302DD8" w:rsidRPr="00F250EF">
          <w:rPr>
            <w:rStyle w:val="a5"/>
            <w:bCs/>
            <w:iCs/>
          </w:rPr>
          <w:t>https://e-disclosure.ru/portal/company.aspx?id=5754</w:t>
        </w:r>
      </w:hyperlink>
      <w:r w:rsidR="0076611B">
        <w:rPr>
          <w:rStyle w:val="Subst"/>
          <w:bCs/>
          <w:iCs/>
        </w:rPr>
        <w:t>.</w:t>
      </w:r>
    </w:p>
    <w:p w:rsidR="0076611B" w:rsidRDefault="0076611B" w:rsidP="00E223A1">
      <w:pPr>
        <w:ind w:left="200"/>
        <w:jc w:val="both"/>
      </w:pPr>
      <w:r>
        <w:t>Дополнительная информация:</w:t>
      </w:r>
      <w:r>
        <w:br/>
      </w:r>
      <w:r>
        <w:rPr>
          <w:rStyle w:val="Subst"/>
          <w:bCs/>
          <w:iCs/>
        </w:rPr>
        <w:t>Не имеется.</w:t>
      </w:r>
    </w:p>
    <w:p w:rsidR="0076611B" w:rsidRDefault="0076611B" w:rsidP="00E223A1">
      <w:pPr>
        <w:pStyle w:val="2"/>
        <w:jc w:val="both"/>
      </w:pPr>
      <w:bookmarkStart w:id="39" w:name="_Toc196398480"/>
      <w:r>
        <w:t xml:space="preserve">2.4. Информация о лицах, ответственных в эмитенте за организацию и осуществление управления рисками, контроля за финансово-хозяйственной деятельностью и </w:t>
      </w:r>
      <w:r>
        <w:lastRenderedPageBreak/>
        <w:t>внутреннего контроля, внутреннего аудита</w:t>
      </w:r>
      <w:bookmarkEnd w:id="39"/>
    </w:p>
    <w:p w:rsidR="0076611B" w:rsidRDefault="0076611B" w:rsidP="00E223A1">
      <w:pPr>
        <w:ind w:left="200"/>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76611B" w:rsidRDefault="0076611B" w:rsidP="00E223A1">
      <w:pPr>
        <w:ind w:left="200"/>
        <w:jc w:val="both"/>
      </w:pPr>
      <w:r>
        <w:rPr>
          <w:rStyle w:val="Subst"/>
          <w:bCs/>
          <w:iCs/>
        </w:rPr>
        <w:t>Ревизионная комиссия не сформирована</w:t>
      </w:r>
    </w:p>
    <w:p w:rsidR="0076611B" w:rsidRDefault="0076611B" w:rsidP="00E223A1">
      <w:pPr>
        <w:ind w:left="200"/>
        <w:jc w:val="both"/>
      </w:pPr>
      <w:r>
        <w:t>Наличие ревизионной комиссии (ревизора) не предусмотрено Уставом</w:t>
      </w:r>
    </w:p>
    <w:p w:rsidR="0076611B" w:rsidRDefault="0076611B" w:rsidP="00E223A1">
      <w:pPr>
        <w:pStyle w:val="SubHeading"/>
        <w:ind w:left="200"/>
        <w:jc w:val="both"/>
      </w:pPr>
      <w:r>
        <w:t>Сведения о руководителях отдельных структурных подразделений по управлению рисками и (или) внутреннему контролю, структ</w:t>
      </w:r>
      <w:r w:rsidR="001A3576">
        <w:t>урных подразделений (должностного</w:t>
      </w:r>
      <w:r>
        <w:t xml:space="preserve"> лица), ответственного за организацию и осуществление внутреннего аудита</w:t>
      </w:r>
    </w:p>
    <w:p w:rsidR="0076611B" w:rsidRDefault="0076611B" w:rsidP="00E1692A">
      <w:pPr>
        <w:pStyle w:val="SubHeading"/>
        <w:ind w:left="200"/>
        <w:jc w:val="both"/>
      </w:pPr>
      <w:r>
        <w:t>Наименование органа контроля за финансово-хозяйственной деятельностью эмитента:</w:t>
      </w:r>
      <w:r w:rsidRPr="00E1692A">
        <w:rPr>
          <w:b/>
          <w:i/>
        </w:rPr>
        <w:t xml:space="preserve"> Должностное лицо, ответственное за организацию и осуществление внутреннего аудита</w:t>
      </w:r>
    </w:p>
    <w:p w:rsidR="0076611B" w:rsidRDefault="0076611B" w:rsidP="00E1692A">
      <w:pPr>
        <w:pStyle w:val="SubHeading"/>
        <w:ind w:left="200"/>
        <w:jc w:val="both"/>
      </w:pPr>
      <w:r>
        <w:t>Информация о руководителе такого отдельного структурного подразделения (органа) эмитента</w:t>
      </w:r>
    </w:p>
    <w:p w:rsidR="00E1692A" w:rsidRDefault="0076611B" w:rsidP="00E1692A">
      <w:pPr>
        <w:pStyle w:val="SubHeading"/>
        <w:ind w:left="200"/>
        <w:jc w:val="both"/>
      </w:pPr>
      <w:r>
        <w:t>Наименование должности руководителя структурного подразделения:</w:t>
      </w:r>
    </w:p>
    <w:p w:rsidR="0076611B" w:rsidRDefault="0076611B" w:rsidP="001A3576">
      <w:pPr>
        <w:pStyle w:val="SubHeading"/>
        <w:spacing w:before="0"/>
        <w:ind w:left="200"/>
        <w:jc w:val="both"/>
      </w:pPr>
      <w:r w:rsidRPr="00E1692A">
        <w:rPr>
          <w:b/>
          <w:i/>
        </w:rPr>
        <w:t>Должностное лицо, ответственное за организацию и осуществление внутреннего аудита; начальник отдела оптового и фондового рынков ПАО "Мордовская энергосбытовая компания"</w:t>
      </w:r>
    </w:p>
    <w:p w:rsidR="0076611B" w:rsidRPr="00E1692A" w:rsidRDefault="0076611B" w:rsidP="00E1692A">
      <w:pPr>
        <w:pStyle w:val="SubHeading"/>
        <w:ind w:left="200"/>
        <w:jc w:val="both"/>
        <w:rPr>
          <w:b/>
          <w:i/>
        </w:rPr>
      </w:pPr>
      <w:r w:rsidRPr="00E1692A">
        <w:rPr>
          <w:b/>
          <w:i/>
        </w:rPr>
        <w:t>Фамилия, имя, отчество (последнее при наличии):</w:t>
      </w:r>
      <w:r w:rsidRPr="00E1692A">
        <w:t xml:space="preserve"> Коновалова Ольга Александровна</w:t>
      </w:r>
    </w:p>
    <w:p w:rsidR="0076611B" w:rsidRPr="00E1692A" w:rsidRDefault="0076611B" w:rsidP="00E1692A">
      <w:pPr>
        <w:pStyle w:val="SubHeading"/>
        <w:ind w:left="200"/>
        <w:jc w:val="both"/>
        <w:rPr>
          <w:b/>
          <w:i/>
        </w:rPr>
      </w:pPr>
      <w:r w:rsidRPr="00E1692A">
        <w:rPr>
          <w:b/>
          <w:i/>
        </w:rPr>
        <w:t>Год рождения:</w:t>
      </w:r>
      <w:r w:rsidRPr="00E1692A">
        <w:t xml:space="preserve"> 1971</w:t>
      </w:r>
    </w:p>
    <w:p w:rsidR="0076611B" w:rsidRDefault="00CA1BDC" w:rsidP="00E1692A">
      <w:pPr>
        <w:pStyle w:val="SubHeading"/>
        <w:ind w:left="200"/>
        <w:jc w:val="both"/>
      </w:pPr>
      <w:r w:rsidRPr="00E1692A">
        <w:rPr>
          <w:b/>
          <w:i/>
        </w:rPr>
        <w:t>Сведения об уровне образования, квалификации, специальности</w:t>
      </w:r>
      <w:r w:rsidR="0076611B" w:rsidRPr="00E1692A">
        <w:rPr>
          <w:b/>
          <w:i/>
        </w:rPr>
        <w:t>:</w:t>
      </w:r>
      <w:r w:rsidRPr="00E1692A">
        <w:rPr>
          <w:b/>
          <w:i/>
        </w:rPr>
        <w:t xml:space="preserve"> </w:t>
      </w:r>
      <w:r w:rsidR="0076611B" w:rsidRPr="00E1692A">
        <w:t>Высшее профессиональное</w:t>
      </w:r>
      <w:r w:rsidR="0076611B" w:rsidRPr="00E1692A">
        <w:br/>
        <w:t>Автономная некоммерческая организация высшего профессионального образования Центросоюза Российской Федерации "Российский университет кооперации".</w:t>
      </w:r>
      <w:r w:rsidR="0076611B">
        <w:rPr>
          <w:rStyle w:val="Subst"/>
          <w:bCs/>
          <w:iCs/>
        </w:rPr>
        <w:t xml:space="preserve"> Специальность "Экономика и управление на предприятии (торговля и общественное питание)". Квалификация - экономист-менеджер.</w:t>
      </w:r>
      <w:r w:rsidR="0076611B">
        <w:rPr>
          <w:rStyle w:val="Subst"/>
          <w:bCs/>
          <w:iCs/>
        </w:rPr>
        <w:br/>
        <w:t>Мордовский ордена дружбы народ</w:t>
      </w:r>
      <w:r w:rsidR="001A3576">
        <w:rPr>
          <w:rStyle w:val="Subst"/>
          <w:bCs/>
          <w:iCs/>
        </w:rPr>
        <w:t xml:space="preserve">ов государственный университет </w:t>
      </w:r>
      <w:r w:rsidR="0076611B">
        <w:rPr>
          <w:rStyle w:val="Subst"/>
          <w:bCs/>
          <w:iCs/>
        </w:rPr>
        <w:t>имени Н.П. Огарева. Специальность "Промышленная электроника". Квалификация - инженер электронной техники.</w:t>
      </w:r>
    </w:p>
    <w:p w:rsidR="0076611B" w:rsidRPr="00E1692A" w:rsidRDefault="0076611B" w:rsidP="00E1692A">
      <w:pPr>
        <w:pStyle w:val="SubHeading"/>
        <w:ind w:left="200"/>
        <w:jc w:val="both"/>
      </w:pPr>
      <w:r w:rsidRPr="00E1692A">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76611B" w:rsidRDefault="0076611B" w:rsidP="00E223A1">
      <w:pPr>
        <w:pStyle w:val="ThinDelim"/>
        <w:jc w:val="both"/>
      </w:pPr>
    </w:p>
    <w:tbl>
      <w:tblPr>
        <w:tblW w:w="8647" w:type="dxa"/>
        <w:tblInd w:w="356" w:type="dxa"/>
        <w:tblLayout w:type="fixed"/>
        <w:tblCellMar>
          <w:left w:w="72" w:type="dxa"/>
          <w:right w:w="72" w:type="dxa"/>
        </w:tblCellMar>
        <w:tblLook w:val="0000" w:firstRow="0" w:lastRow="0" w:firstColumn="0" w:lastColumn="0" w:noHBand="0" w:noVBand="0"/>
      </w:tblPr>
      <w:tblGrid>
        <w:gridCol w:w="1332"/>
        <w:gridCol w:w="1260"/>
        <w:gridCol w:w="3980"/>
        <w:gridCol w:w="2075"/>
      </w:tblGrid>
      <w:tr w:rsidR="0076611B" w:rsidTr="00E1692A">
        <w:tc>
          <w:tcPr>
            <w:tcW w:w="2592" w:type="dxa"/>
            <w:gridSpan w:val="2"/>
            <w:tcBorders>
              <w:top w:val="double" w:sz="6" w:space="0" w:color="auto"/>
              <w:left w:val="double" w:sz="6" w:space="0" w:color="auto"/>
              <w:bottom w:val="single" w:sz="6" w:space="0" w:color="auto"/>
              <w:right w:val="single" w:sz="6" w:space="0" w:color="auto"/>
            </w:tcBorders>
          </w:tcPr>
          <w:p w:rsidR="0076611B" w:rsidRDefault="0076611B" w:rsidP="00E223A1">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76611B" w:rsidRDefault="0076611B" w:rsidP="00E223A1">
            <w:pPr>
              <w:jc w:val="both"/>
            </w:pPr>
            <w:r>
              <w:t>Наименование организации</w:t>
            </w:r>
          </w:p>
        </w:tc>
        <w:tc>
          <w:tcPr>
            <w:tcW w:w="2075" w:type="dxa"/>
            <w:tcBorders>
              <w:top w:val="double" w:sz="6" w:space="0" w:color="auto"/>
              <w:left w:val="single" w:sz="6" w:space="0" w:color="auto"/>
              <w:bottom w:val="single" w:sz="6" w:space="0" w:color="auto"/>
              <w:right w:val="double" w:sz="6" w:space="0" w:color="auto"/>
            </w:tcBorders>
          </w:tcPr>
          <w:p w:rsidR="0076611B" w:rsidRDefault="0076611B" w:rsidP="00E223A1">
            <w:pPr>
              <w:jc w:val="both"/>
            </w:pPr>
            <w:r>
              <w:t>Должность</w:t>
            </w:r>
          </w:p>
        </w:tc>
      </w:tr>
      <w:tr w:rsidR="0076611B" w:rsidTr="00E1692A">
        <w:tc>
          <w:tcPr>
            <w:tcW w:w="1332" w:type="dxa"/>
            <w:tcBorders>
              <w:top w:val="single" w:sz="6" w:space="0" w:color="auto"/>
              <w:left w:val="double" w:sz="6" w:space="0" w:color="auto"/>
              <w:bottom w:val="single" w:sz="6" w:space="0" w:color="auto"/>
              <w:right w:val="single" w:sz="6" w:space="0" w:color="auto"/>
            </w:tcBorders>
          </w:tcPr>
          <w:p w:rsidR="0076611B" w:rsidRDefault="0076611B" w:rsidP="00E223A1">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76611B" w:rsidRDefault="0076611B" w:rsidP="00E223A1">
            <w:pPr>
              <w:jc w:val="both"/>
            </w:pPr>
          </w:p>
        </w:tc>
        <w:tc>
          <w:tcPr>
            <w:tcW w:w="2075" w:type="dxa"/>
            <w:tcBorders>
              <w:top w:val="single" w:sz="6" w:space="0" w:color="auto"/>
              <w:left w:val="single" w:sz="6" w:space="0" w:color="auto"/>
              <w:bottom w:val="single" w:sz="6" w:space="0" w:color="auto"/>
              <w:right w:val="double" w:sz="6" w:space="0" w:color="auto"/>
            </w:tcBorders>
          </w:tcPr>
          <w:p w:rsidR="0076611B" w:rsidRDefault="0076611B" w:rsidP="00E223A1">
            <w:pPr>
              <w:jc w:val="both"/>
            </w:pPr>
          </w:p>
        </w:tc>
      </w:tr>
      <w:tr w:rsidR="0076611B" w:rsidTr="00E1692A">
        <w:tc>
          <w:tcPr>
            <w:tcW w:w="1332" w:type="dxa"/>
            <w:tcBorders>
              <w:top w:val="single" w:sz="6" w:space="0" w:color="auto"/>
              <w:left w:val="double" w:sz="6" w:space="0" w:color="auto"/>
              <w:bottom w:val="double" w:sz="6" w:space="0" w:color="auto"/>
              <w:right w:val="single" w:sz="6" w:space="0" w:color="auto"/>
            </w:tcBorders>
          </w:tcPr>
          <w:p w:rsidR="0076611B" w:rsidRDefault="0076611B" w:rsidP="00E223A1">
            <w:pPr>
              <w:jc w:val="both"/>
            </w:pPr>
            <w:r>
              <w:t>июнь 2015</w:t>
            </w:r>
          </w:p>
        </w:tc>
        <w:tc>
          <w:tcPr>
            <w:tcW w:w="126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76611B" w:rsidRDefault="0076611B" w:rsidP="00E223A1">
            <w:pPr>
              <w:jc w:val="both"/>
            </w:pPr>
            <w:r>
              <w:t>ПАО "Мордовская энергосбытовая компания", г. Саранск</w:t>
            </w:r>
          </w:p>
        </w:tc>
        <w:tc>
          <w:tcPr>
            <w:tcW w:w="2075" w:type="dxa"/>
            <w:tcBorders>
              <w:top w:val="single" w:sz="6" w:space="0" w:color="auto"/>
              <w:left w:val="single" w:sz="6" w:space="0" w:color="auto"/>
              <w:bottom w:val="double" w:sz="6" w:space="0" w:color="auto"/>
              <w:right w:val="double" w:sz="6" w:space="0" w:color="auto"/>
            </w:tcBorders>
          </w:tcPr>
          <w:p w:rsidR="0076611B" w:rsidRDefault="0076611B" w:rsidP="00E223A1">
            <w:pPr>
              <w:jc w:val="both"/>
            </w:pPr>
            <w:r>
              <w:t>начальник отдела оптового и фондового рынков</w:t>
            </w:r>
          </w:p>
        </w:tc>
      </w:tr>
    </w:tbl>
    <w:p w:rsidR="00CA1BDC" w:rsidRPr="00E1692A" w:rsidRDefault="00CA1BDC" w:rsidP="00E1692A">
      <w:pPr>
        <w:pStyle w:val="SubHeading"/>
        <w:ind w:left="200"/>
        <w:jc w:val="both"/>
      </w:pPr>
      <w:r w:rsidRPr="00E1692A">
        <w:t>Доля участия лица в уставном капитале Эмитента:</w:t>
      </w:r>
      <w:r w:rsidRPr="00E1692A">
        <w:rPr>
          <w:b/>
          <w:i/>
        </w:rPr>
        <w:t xml:space="preserve"> не имеет.</w:t>
      </w:r>
    </w:p>
    <w:p w:rsidR="0076611B" w:rsidRDefault="0076611B" w:rsidP="00E1692A">
      <w:pPr>
        <w:pStyle w:val="SubHeading"/>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6611B" w:rsidRPr="00E1692A" w:rsidRDefault="0076611B" w:rsidP="00623A78">
      <w:pPr>
        <w:pStyle w:val="SubHeading"/>
        <w:spacing w:before="0"/>
        <w:ind w:left="200"/>
        <w:jc w:val="both"/>
        <w:rPr>
          <w:b/>
          <w:i/>
        </w:rPr>
      </w:pPr>
      <w:r w:rsidRPr="00E1692A">
        <w:rPr>
          <w:b/>
          <w:i/>
        </w:rPr>
        <w:t>Информация не указывается, в связи с тем, что эмитент не осуществлял выпуск ценных бумаг, конвертируемых в акции</w:t>
      </w:r>
      <w:r w:rsidR="003B5E61">
        <w:rPr>
          <w:b/>
          <w:i/>
        </w:rPr>
        <w:t>.</w:t>
      </w:r>
    </w:p>
    <w:p w:rsidR="0076611B" w:rsidRDefault="0076611B" w:rsidP="00E1692A">
      <w:pPr>
        <w:pStyle w:val="SubHeading"/>
        <w:ind w:left="200"/>
        <w:jc w:val="both"/>
      </w:pPr>
      <w:r>
        <w:t>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w:t>
      </w:r>
      <w:r w:rsidR="006A0E7E">
        <w:t>:</w:t>
      </w:r>
    </w:p>
    <w:p w:rsidR="0076611B" w:rsidRPr="00E1692A" w:rsidRDefault="0076611B" w:rsidP="00623A78">
      <w:pPr>
        <w:pStyle w:val="SubHeading"/>
        <w:spacing w:before="0"/>
        <w:ind w:left="200"/>
        <w:jc w:val="both"/>
        <w:rPr>
          <w:b/>
          <w:i/>
        </w:rPr>
      </w:pPr>
      <w:r w:rsidRPr="00E1692A">
        <w:rPr>
          <w:b/>
          <w:i/>
        </w:rPr>
        <w:t xml:space="preserve">Лицо указанных долей не имеет. Ценных бумаг, конвертируемых в акции дочернего или </w:t>
      </w:r>
      <w:r w:rsidRPr="00E1692A">
        <w:rPr>
          <w:b/>
          <w:i/>
        </w:rPr>
        <w:lastRenderedPageBreak/>
        <w:t>зависимого общества эмитента, лицо не имеет</w:t>
      </w:r>
      <w:r w:rsidR="003B5E61">
        <w:rPr>
          <w:b/>
          <w:i/>
        </w:rPr>
        <w:t>.</w:t>
      </w:r>
    </w:p>
    <w:p w:rsidR="0076611B" w:rsidRPr="00E1692A" w:rsidRDefault="0076611B" w:rsidP="00E1692A">
      <w:pPr>
        <w:pStyle w:val="SubHeading"/>
        <w:ind w:left="200"/>
        <w:jc w:val="both"/>
        <w:rPr>
          <w:b/>
          <w:i/>
        </w:rPr>
      </w:pPr>
      <w:r>
        <w:t>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r>
        <w:br/>
      </w:r>
      <w:r w:rsidRPr="00E1692A">
        <w:rPr>
          <w:b/>
          <w:i/>
        </w:rPr>
        <w:t>Указанных родственных связей нет</w:t>
      </w:r>
      <w:r w:rsidR="003B5E61">
        <w:rPr>
          <w:b/>
          <w:i/>
        </w:rPr>
        <w:t>.</w:t>
      </w:r>
    </w:p>
    <w:p w:rsidR="0076611B" w:rsidRPr="00E1692A" w:rsidRDefault="0076611B" w:rsidP="00E1692A">
      <w:pPr>
        <w:pStyle w:val="SubHeading"/>
        <w:ind w:left="200"/>
        <w:jc w:val="both"/>
        <w:rPr>
          <w:b/>
          <w:i/>
        </w:rPr>
      </w:pPr>
      <w:r>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sidRPr="00E1692A">
        <w:rPr>
          <w:b/>
          <w:i/>
        </w:rPr>
        <w:t>Лицо к указанным видам ответственности не привлекалось</w:t>
      </w:r>
      <w:r w:rsidR="003B5E61">
        <w:rPr>
          <w:b/>
          <w:i/>
        </w:rPr>
        <w:t>.</w:t>
      </w:r>
    </w:p>
    <w:p w:rsidR="0076611B" w:rsidRPr="00B65B2A" w:rsidRDefault="0076611B" w:rsidP="00B65B2A">
      <w:pPr>
        <w:pStyle w:val="SubHeading"/>
        <w:ind w:left="200"/>
        <w:jc w:val="both"/>
        <w:rPr>
          <w:b/>
          <w:i/>
        </w:rPr>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sidRPr="00E1692A">
        <w:rPr>
          <w:b/>
          <w:i/>
        </w:rPr>
        <w:t>Лицо указанных должностей не занимало</w:t>
      </w:r>
      <w:r w:rsidR="003B5E61">
        <w:rPr>
          <w:b/>
          <w:i/>
        </w:rPr>
        <w:t>.</w:t>
      </w:r>
    </w:p>
    <w:p w:rsidR="0076611B" w:rsidRDefault="0076611B" w:rsidP="00E223A1">
      <w:pPr>
        <w:pStyle w:val="2"/>
        <w:jc w:val="both"/>
      </w:pPr>
      <w:bookmarkStart w:id="40" w:name="_Toc196398481"/>
      <w: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40"/>
    </w:p>
    <w:p w:rsidR="0076611B" w:rsidRDefault="0076611B" w:rsidP="00E223A1">
      <w:pPr>
        <w:ind w:left="200"/>
        <w:jc w:val="both"/>
      </w:pPr>
      <w:r>
        <w:rPr>
          <w:rStyle w:val="Subst"/>
          <w:bCs/>
          <w:iCs/>
        </w:rPr>
        <w:t>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уставном капитале, отсутствуют.</w:t>
      </w:r>
    </w:p>
    <w:p w:rsidR="0076611B" w:rsidRDefault="0076611B" w:rsidP="00E223A1">
      <w:pPr>
        <w:ind w:left="200"/>
        <w:jc w:val="both"/>
      </w:pPr>
      <w:r>
        <w:rPr>
          <w:rStyle w:val="Subst"/>
          <w:bCs/>
          <w:iCs/>
        </w:rPr>
        <w:t>Опционы эмитента работникам эмитента и подконтрольных эмитенту организаций не предоставлялись. Возможность предоставления опционов эмитента работникам эмитента и подконтрольных эмитенту организаций не предусмотрена.</w:t>
      </w:r>
    </w:p>
    <w:p w:rsidR="0076611B" w:rsidRDefault="0076611B" w:rsidP="00E223A1">
      <w:pPr>
        <w:ind w:left="200"/>
        <w:jc w:val="both"/>
      </w:pPr>
      <w:r>
        <w:t>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 Для эмитентов, являющихся акционерными обществами,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опционов эмитента.</w:t>
      </w:r>
    </w:p>
    <w:p w:rsidR="0076611B" w:rsidRPr="00B65B2A" w:rsidRDefault="002E6B2C" w:rsidP="00E223A1">
      <w:pPr>
        <w:ind w:left="200"/>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B65B2A">
        <w:t>.</w:t>
      </w:r>
    </w:p>
    <w:p w:rsidR="0076611B" w:rsidRDefault="0076611B" w:rsidP="00E223A1">
      <w:pPr>
        <w:pStyle w:val="1"/>
        <w:jc w:val="both"/>
      </w:pPr>
      <w:bookmarkStart w:id="41" w:name="_Toc196398482"/>
      <w: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1"/>
    </w:p>
    <w:p w:rsidR="0076611B" w:rsidRDefault="0076611B" w:rsidP="00E223A1">
      <w:pPr>
        <w:pStyle w:val="2"/>
        <w:jc w:val="both"/>
      </w:pPr>
      <w:bookmarkStart w:id="42" w:name="_Toc196398483"/>
      <w:r>
        <w:t>3.1. Сведения об общем количестве акционеров (участников, членов) эмитента</w:t>
      </w:r>
      <w:bookmarkEnd w:id="42"/>
    </w:p>
    <w:p w:rsidR="0076611B" w:rsidRDefault="0076611B" w:rsidP="00E223A1">
      <w:pPr>
        <w:ind w:left="200"/>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76611B" w:rsidRDefault="0076611B" w:rsidP="00E223A1">
      <w:pPr>
        <w:ind w:left="200"/>
        <w:jc w:val="both"/>
      </w:pPr>
      <w: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Pr>
          <w:rStyle w:val="Subst"/>
          <w:bCs/>
          <w:iCs/>
        </w:rPr>
        <w:t xml:space="preserve"> 269</w:t>
      </w:r>
    </w:p>
    <w:p w:rsidR="0076611B" w:rsidRDefault="0076611B" w:rsidP="00E223A1">
      <w:pPr>
        <w:ind w:left="200"/>
        <w:jc w:val="both"/>
      </w:pPr>
      <w:r>
        <w:t>Общее количество номинальных держателей акций эмитента:</w:t>
      </w:r>
      <w:r>
        <w:rPr>
          <w:rStyle w:val="Subst"/>
          <w:bCs/>
          <w:iCs/>
        </w:rPr>
        <w:t xml:space="preserve"> 4</w:t>
      </w:r>
    </w:p>
    <w:p w:rsidR="0076611B" w:rsidRDefault="0076611B" w:rsidP="00E223A1">
      <w:pPr>
        <w:pStyle w:val="ThinDelim"/>
        <w:jc w:val="both"/>
      </w:pPr>
    </w:p>
    <w:p w:rsidR="0076611B" w:rsidRDefault="0076611B" w:rsidP="00E223A1">
      <w:pPr>
        <w:ind w:left="200"/>
        <w:jc w:val="both"/>
      </w:pPr>
      <w:r>
        <w:lastRenderedPageBreak/>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1 950</w:t>
      </w:r>
    </w:p>
    <w:p w:rsidR="0076611B" w:rsidRDefault="0076611B" w:rsidP="00E223A1">
      <w:pPr>
        <w:ind w:left="200"/>
        <w:jc w:val="both"/>
      </w:pPr>
      <w:r>
        <w:t>Дата, на которую в данном списке указывались лица, имеющие право осуществлять права по акциям эмитента:</w:t>
      </w:r>
      <w:r>
        <w:rPr>
          <w:rStyle w:val="Subst"/>
          <w:bCs/>
          <w:iCs/>
        </w:rPr>
        <w:t xml:space="preserve"> 05.11.2024</w:t>
      </w:r>
    </w:p>
    <w:p w:rsidR="0076611B" w:rsidRDefault="0076611B" w:rsidP="00E223A1">
      <w:pPr>
        <w:ind w:left="200"/>
        <w:jc w:val="both"/>
      </w:pPr>
      <w:r>
        <w:t>Владельцы обыкновенных акций эмитента, которые подлежали включению в такой список:</w:t>
      </w:r>
      <w:r>
        <w:rPr>
          <w:rStyle w:val="Subst"/>
          <w:bCs/>
          <w:iCs/>
        </w:rPr>
        <w:t xml:space="preserve"> 1 950</w:t>
      </w:r>
    </w:p>
    <w:p w:rsidR="0076611B" w:rsidRDefault="0076611B" w:rsidP="00E223A1">
      <w:pPr>
        <w:pStyle w:val="SubHeading"/>
        <w:ind w:left="200"/>
        <w:jc w:val="both"/>
      </w:pPr>
      <w: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r w:rsidR="006A0E7E">
        <w:t>:</w:t>
      </w:r>
    </w:p>
    <w:p w:rsidR="0076611B" w:rsidRPr="006A0E7E" w:rsidRDefault="0076611B" w:rsidP="006A0E7E">
      <w:pPr>
        <w:ind w:left="200"/>
        <w:jc w:val="both"/>
        <w:rPr>
          <w:rStyle w:val="Subst"/>
          <w:bCs/>
          <w:iCs/>
        </w:rPr>
      </w:pPr>
      <w:r>
        <w:rPr>
          <w:rStyle w:val="Subst"/>
          <w:bCs/>
          <w:iCs/>
        </w:rPr>
        <w:t>Собственных акций, находящихся на балансе эмитента нет</w:t>
      </w:r>
    </w:p>
    <w:p w:rsidR="0076611B" w:rsidRDefault="0076611B" w:rsidP="00E223A1">
      <w:pPr>
        <w:pStyle w:val="SubHeading"/>
        <w:ind w:left="200"/>
        <w:jc w:val="both"/>
      </w:pPr>
      <w:r>
        <w:t>Информация о количестве акций эмитента, принадлежащих подконтрольным ему организациям</w:t>
      </w:r>
      <w:r w:rsidR="006A0E7E">
        <w:t>:</w:t>
      </w:r>
    </w:p>
    <w:p w:rsidR="0076611B" w:rsidRPr="006A0E7E" w:rsidRDefault="0076611B" w:rsidP="006A0E7E">
      <w:pPr>
        <w:ind w:left="200"/>
        <w:jc w:val="both"/>
        <w:rPr>
          <w:rStyle w:val="Subst"/>
          <w:bCs/>
          <w:iCs/>
        </w:rPr>
      </w:pPr>
      <w:r>
        <w:rPr>
          <w:rStyle w:val="Subst"/>
          <w:bCs/>
          <w:iCs/>
        </w:rPr>
        <w:t>Акций эмитента, принадлежащих подконтрольным ему организациям нет</w:t>
      </w:r>
    </w:p>
    <w:p w:rsidR="0076611B" w:rsidRDefault="0076611B" w:rsidP="00E223A1">
      <w:pPr>
        <w:pStyle w:val="2"/>
        <w:jc w:val="both"/>
      </w:pPr>
      <w:bookmarkStart w:id="43" w:name="_Toc196398484"/>
      <w: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43"/>
    </w:p>
    <w:p w:rsidR="0076611B" w:rsidRDefault="0076611B" w:rsidP="00E223A1">
      <w:pPr>
        <w:ind w:left="200"/>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76611B" w:rsidRDefault="0076611B" w:rsidP="00E223A1">
      <w:pPr>
        <w:ind w:left="200"/>
        <w:jc w:val="both"/>
      </w:pPr>
    </w:p>
    <w:p w:rsidR="0076611B" w:rsidRDefault="0076611B" w:rsidP="00E1087C">
      <w:pPr>
        <w:numPr>
          <w:ilvl w:val="0"/>
          <w:numId w:val="1"/>
        </w:numPr>
        <w:jc w:val="both"/>
      </w:pPr>
      <w:r>
        <w:t>Фамилия, Имя, Отчество (последнее при наличии):</w:t>
      </w:r>
      <w:r>
        <w:rPr>
          <w:rStyle w:val="Subst"/>
          <w:bCs/>
          <w:iCs/>
        </w:rPr>
        <w:t xml:space="preserve"> Мордвинов Сергей Михайлович</w:t>
      </w:r>
    </w:p>
    <w:p w:rsidR="0076611B" w:rsidRDefault="0076611B" w:rsidP="00E223A1">
      <w:pPr>
        <w:ind w:left="200"/>
        <w:jc w:val="both"/>
      </w:pPr>
      <w:r>
        <w:t>ОГРНИП:</w:t>
      </w:r>
      <w:r>
        <w:rPr>
          <w:rStyle w:val="Subst"/>
          <w:bCs/>
          <w:iCs/>
        </w:rPr>
        <w:t xml:space="preserve"> 320631300074769</w:t>
      </w:r>
    </w:p>
    <w:p w:rsidR="0076611B" w:rsidRDefault="0076611B" w:rsidP="00E223A1">
      <w:pPr>
        <w:ind w:left="200"/>
        <w:jc w:val="both"/>
      </w:pPr>
      <w:r>
        <w:t>Лицо не имеет ОГРНИП:</w:t>
      </w:r>
      <w:r>
        <w:rPr>
          <w:rStyle w:val="Subst"/>
          <w:bCs/>
          <w:iCs/>
        </w:rPr>
        <w:t xml:space="preserve"> Нет</w:t>
      </w:r>
    </w:p>
    <w:p w:rsidR="0076611B" w:rsidRDefault="0076611B" w:rsidP="00E223A1">
      <w:pPr>
        <w:ind w:left="200"/>
        <w:jc w:val="both"/>
      </w:pPr>
      <w: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Style w:val="Subst"/>
          <w:bCs/>
          <w:iCs/>
        </w:rPr>
        <w:t xml:space="preserve"> 40.97</w:t>
      </w:r>
    </w:p>
    <w:p w:rsidR="0076611B" w:rsidRDefault="0076611B" w:rsidP="00E223A1">
      <w:pPr>
        <w:ind w:left="200"/>
        <w:jc w:val="both"/>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косвенное распоряжение</w:t>
      </w:r>
    </w:p>
    <w:p w:rsidR="0076611B" w:rsidRDefault="0076611B" w:rsidP="00E223A1">
      <w:pPr>
        <w:ind w:left="200"/>
        <w:jc w:val="both"/>
      </w:pPr>
      <w:r>
        <w:t>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При этом по каждой организации указываются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w:t>
      </w:r>
      <w:r>
        <w:br/>
      </w:r>
      <w:r>
        <w:rPr>
          <w:rStyle w:val="Subst"/>
          <w:bCs/>
          <w:iCs/>
        </w:rPr>
        <w:t>Мордвинов Сергей Михайлович владеет 10% уставного капитала Общества с ограниченной ответственностью «Альфа», 100% уставного капитала Общества с ограниченной ответственностью «МСХ».</w:t>
      </w:r>
      <w:r>
        <w:rPr>
          <w:rStyle w:val="Subst"/>
          <w:bCs/>
          <w:iCs/>
        </w:rPr>
        <w:br/>
      </w:r>
      <w:r>
        <w:rPr>
          <w:rStyle w:val="Subst"/>
          <w:bCs/>
          <w:iCs/>
        </w:rPr>
        <w:br/>
        <w:t>1. Полное фирменное наименование: Общество с ограниченной ответственностью «Альфа»</w:t>
      </w:r>
      <w:r>
        <w:rPr>
          <w:rStyle w:val="Subst"/>
          <w:bCs/>
          <w:iCs/>
        </w:rPr>
        <w:br/>
        <w:t>Сокращенное фирменное наименование: ООО «Альфа»</w:t>
      </w:r>
      <w:r>
        <w:rPr>
          <w:rStyle w:val="Subst"/>
          <w:bCs/>
          <w:iCs/>
        </w:rPr>
        <w:br/>
        <w:t xml:space="preserve">Место нахождения: 443100, Самарская область, </w:t>
      </w:r>
      <w:proofErr w:type="spellStart"/>
      <w:r>
        <w:rPr>
          <w:rStyle w:val="Subst"/>
          <w:bCs/>
          <w:iCs/>
        </w:rPr>
        <w:t>г.о</w:t>
      </w:r>
      <w:proofErr w:type="spellEnd"/>
      <w:r>
        <w:rPr>
          <w:rStyle w:val="Subst"/>
          <w:bCs/>
          <w:iCs/>
        </w:rPr>
        <w:t xml:space="preserve">. Самара, </w:t>
      </w:r>
      <w:proofErr w:type="spellStart"/>
      <w:r>
        <w:rPr>
          <w:rStyle w:val="Subst"/>
          <w:bCs/>
          <w:iCs/>
        </w:rPr>
        <w:t>вн</w:t>
      </w:r>
      <w:proofErr w:type="spellEnd"/>
      <w:r>
        <w:rPr>
          <w:rStyle w:val="Subst"/>
          <w:bCs/>
          <w:iCs/>
        </w:rPr>
        <w:t>. р-н Октябрьский, г. Самара, ул. Лесная, д. 9, ком. 12</w:t>
      </w:r>
      <w:r>
        <w:rPr>
          <w:rStyle w:val="Subst"/>
          <w:bCs/>
          <w:iCs/>
        </w:rPr>
        <w:br/>
        <w:t>ИНН: 6318245469, ОГРН: 1146318006845</w:t>
      </w:r>
      <w:r>
        <w:rPr>
          <w:rStyle w:val="Subst"/>
          <w:bCs/>
          <w:iCs/>
        </w:rPr>
        <w:br/>
        <w:t>ООО «Альфа» владеет 26% уставного капитала ООО «ЭнергоИнвест»</w:t>
      </w:r>
      <w:r>
        <w:rPr>
          <w:rStyle w:val="Subst"/>
          <w:bCs/>
          <w:iCs/>
        </w:rPr>
        <w:br/>
        <w:t>2. Полное фирменное наименование: Общество с ограниченной ответственностью «МСХ»</w:t>
      </w:r>
      <w:r>
        <w:rPr>
          <w:rStyle w:val="Subst"/>
          <w:bCs/>
          <w:iCs/>
        </w:rPr>
        <w:br/>
        <w:t>Сокращенное фирменное наименование: ООО «МСХ»</w:t>
      </w:r>
      <w:r>
        <w:rPr>
          <w:rStyle w:val="Subst"/>
          <w:bCs/>
          <w:iCs/>
        </w:rPr>
        <w:br/>
        <w:t xml:space="preserve">Место нахождения: 443041, Самарская область, </w:t>
      </w:r>
      <w:proofErr w:type="spellStart"/>
      <w:r>
        <w:rPr>
          <w:rStyle w:val="Subst"/>
          <w:bCs/>
          <w:iCs/>
        </w:rPr>
        <w:t>г.о</w:t>
      </w:r>
      <w:proofErr w:type="spellEnd"/>
      <w:r>
        <w:rPr>
          <w:rStyle w:val="Subst"/>
          <w:bCs/>
          <w:iCs/>
        </w:rPr>
        <w:t xml:space="preserve">. Самара, </w:t>
      </w:r>
      <w:proofErr w:type="spellStart"/>
      <w:r>
        <w:rPr>
          <w:rStyle w:val="Subst"/>
          <w:bCs/>
          <w:iCs/>
        </w:rPr>
        <w:t>вн</w:t>
      </w:r>
      <w:proofErr w:type="spellEnd"/>
      <w:r>
        <w:rPr>
          <w:rStyle w:val="Subst"/>
          <w:bCs/>
          <w:iCs/>
        </w:rPr>
        <w:t>. р-н Ленинский, г. Самара, ул. Рабочая, д. 69, офис Н1,</w:t>
      </w:r>
      <w:r>
        <w:rPr>
          <w:rStyle w:val="Subst"/>
          <w:bCs/>
          <w:iCs/>
        </w:rPr>
        <w:br/>
        <w:t>ИНН: 6316197058, ОГРН: 1146316002843</w:t>
      </w:r>
      <w:r>
        <w:rPr>
          <w:rStyle w:val="Subst"/>
          <w:bCs/>
          <w:iCs/>
        </w:rPr>
        <w:br/>
        <w:t>ООО «МСХ» владеет 90% уставного капитала ООО «Альфа»;</w:t>
      </w:r>
      <w:r>
        <w:rPr>
          <w:rStyle w:val="Subst"/>
          <w:bCs/>
          <w:iCs/>
        </w:rPr>
        <w:br/>
        <w:t>ООО «МСХ» владеет 22,8% уставного капитала ООО «ЭнергоИнвест»</w:t>
      </w:r>
      <w:r>
        <w:rPr>
          <w:rStyle w:val="Subst"/>
          <w:bCs/>
          <w:iCs/>
        </w:rPr>
        <w:br/>
      </w:r>
      <w:r>
        <w:rPr>
          <w:rStyle w:val="Subst"/>
          <w:bCs/>
          <w:iCs/>
        </w:rPr>
        <w:lastRenderedPageBreak/>
        <w:t>3. Полное фирменное наименование: Общество с ограниченной ответственностью "ЭнергоИнвест"</w:t>
      </w:r>
      <w:r>
        <w:rPr>
          <w:rStyle w:val="Subst"/>
          <w:bCs/>
          <w:iCs/>
        </w:rPr>
        <w:br/>
        <w:t>Сокращенное фирменное наименование: ООО "ЭнергоИнвест"</w:t>
      </w:r>
      <w:r>
        <w:rPr>
          <w:rStyle w:val="Subst"/>
          <w:bCs/>
          <w:iCs/>
        </w:rPr>
        <w:br/>
        <w:t>Место нахождения: 430016, Республика Мордовия, г. Саранск, ул. Большевистская, д. 117А</w:t>
      </w:r>
      <w:r>
        <w:rPr>
          <w:rStyle w:val="Subst"/>
          <w:bCs/>
          <w:iCs/>
        </w:rPr>
        <w:br/>
        <w:t>ИНН: 1328909550, ОГРН: 1081328000258</w:t>
      </w:r>
      <w:r>
        <w:rPr>
          <w:rStyle w:val="Subst"/>
          <w:bCs/>
          <w:iCs/>
        </w:rPr>
        <w:br/>
        <w:t>ООО «ЭнергоИнвест» владеет 83,95% уставного капитала эмитента ПАО «Мордовская энергосбытовая компания».</w:t>
      </w:r>
    </w:p>
    <w:p w:rsidR="0076611B" w:rsidRDefault="0076611B" w:rsidP="00E223A1">
      <w:pPr>
        <w:ind w:left="200"/>
        <w:jc w:val="both"/>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Самостоятельное распоряжение</w:t>
      </w:r>
    </w:p>
    <w:p w:rsidR="0076611B" w:rsidRDefault="0076611B" w:rsidP="00E223A1">
      <w:pPr>
        <w:ind w:left="200"/>
        <w:jc w:val="both"/>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Участие (доля участия в уставном (складочном) капитале) в эмитенте</w:t>
      </w:r>
    </w:p>
    <w:p w:rsidR="0076611B" w:rsidRDefault="0076611B" w:rsidP="00E223A1">
      <w:pPr>
        <w:ind w:left="200"/>
        <w:jc w:val="both"/>
      </w:pPr>
      <w:r>
        <w:t>Иные сведения, указываемые эмитентом по собственному усмотрению:</w:t>
      </w:r>
      <w:r>
        <w:br/>
      </w:r>
      <w:r>
        <w:rPr>
          <w:rStyle w:val="Subst"/>
          <w:bCs/>
          <w:iCs/>
        </w:rPr>
        <w:t>не имеется</w:t>
      </w:r>
    </w:p>
    <w:p w:rsidR="0076611B" w:rsidRDefault="0076611B" w:rsidP="00E223A1">
      <w:pPr>
        <w:ind w:left="200"/>
        <w:jc w:val="both"/>
      </w:pPr>
    </w:p>
    <w:p w:rsidR="0076611B" w:rsidRDefault="0076611B" w:rsidP="00E1087C">
      <w:pPr>
        <w:numPr>
          <w:ilvl w:val="0"/>
          <w:numId w:val="1"/>
        </w:numPr>
        <w:jc w:val="both"/>
      </w:pPr>
      <w:r>
        <w:t>Фамилия, Имя, Отчество (последнее при наличии):</w:t>
      </w:r>
      <w:r>
        <w:rPr>
          <w:rStyle w:val="Subst"/>
          <w:bCs/>
          <w:iCs/>
        </w:rPr>
        <w:t xml:space="preserve"> Мордвинова Екатерина Владимировна</w:t>
      </w:r>
    </w:p>
    <w:p w:rsidR="0076611B" w:rsidRDefault="0076611B" w:rsidP="00E223A1">
      <w:pPr>
        <w:ind w:left="200"/>
        <w:jc w:val="both"/>
      </w:pPr>
      <w:r>
        <w:t>ОГРНИП:</w:t>
      </w:r>
      <w:r>
        <w:rPr>
          <w:rStyle w:val="Subst"/>
          <w:bCs/>
          <w:iCs/>
        </w:rPr>
        <w:t xml:space="preserve"> 316631300179212</w:t>
      </w:r>
    </w:p>
    <w:p w:rsidR="0076611B" w:rsidRDefault="0076611B" w:rsidP="00E223A1">
      <w:pPr>
        <w:ind w:left="200"/>
        <w:jc w:val="both"/>
      </w:pPr>
      <w:r>
        <w:t>Лицо не имеет ОГРНИП:</w:t>
      </w:r>
      <w:r>
        <w:rPr>
          <w:rStyle w:val="Subst"/>
          <w:bCs/>
          <w:iCs/>
        </w:rPr>
        <w:t xml:space="preserve"> Нет</w:t>
      </w:r>
    </w:p>
    <w:p w:rsidR="0076611B" w:rsidRDefault="0076611B" w:rsidP="00E223A1">
      <w:pPr>
        <w:ind w:left="200"/>
        <w:jc w:val="both"/>
      </w:pPr>
      <w: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Style w:val="Subst"/>
          <w:bCs/>
          <w:iCs/>
        </w:rPr>
        <w:t xml:space="preserve"> 42.98</w:t>
      </w:r>
    </w:p>
    <w:p w:rsidR="0076611B" w:rsidRDefault="0076611B" w:rsidP="00E223A1">
      <w:pPr>
        <w:ind w:left="200"/>
        <w:jc w:val="both"/>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косвенное распоряжение</w:t>
      </w:r>
    </w:p>
    <w:p w:rsidR="0076611B" w:rsidRDefault="0076611B" w:rsidP="00E223A1">
      <w:pPr>
        <w:ind w:left="200"/>
        <w:jc w:val="both"/>
      </w:pPr>
      <w:r>
        <w:t>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При этом по каждой организации указываются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w:t>
      </w:r>
      <w:r>
        <w:br/>
      </w:r>
      <w:r>
        <w:rPr>
          <w:rStyle w:val="Subst"/>
          <w:bCs/>
          <w:iCs/>
        </w:rPr>
        <w:t>Мордвинова Екатерина Владимировна владеет 100% уставного капитала Общества с ограниченной ответственностью «БЕВ».</w:t>
      </w:r>
      <w:r>
        <w:rPr>
          <w:rStyle w:val="Subst"/>
          <w:bCs/>
          <w:iCs/>
        </w:rPr>
        <w:br/>
      </w:r>
      <w:r>
        <w:rPr>
          <w:rStyle w:val="Subst"/>
          <w:bCs/>
          <w:iCs/>
        </w:rPr>
        <w:br/>
        <w:t>1. Полное фирменное наименование: Общество с ограниченной ответственностью «БЕВ»</w:t>
      </w:r>
      <w:r>
        <w:rPr>
          <w:rStyle w:val="Subst"/>
          <w:bCs/>
          <w:iCs/>
        </w:rPr>
        <w:br/>
        <w:t>Сокращенное фирменное наименование: ООО «БЕВ»</w:t>
      </w:r>
      <w:r>
        <w:rPr>
          <w:rStyle w:val="Subst"/>
          <w:bCs/>
          <w:iCs/>
        </w:rPr>
        <w:br/>
        <w:t xml:space="preserve">Место нахождения: 443041, Самарская область, </w:t>
      </w:r>
      <w:proofErr w:type="spellStart"/>
      <w:r>
        <w:rPr>
          <w:rStyle w:val="Subst"/>
          <w:bCs/>
          <w:iCs/>
        </w:rPr>
        <w:t>г.о</w:t>
      </w:r>
      <w:proofErr w:type="spellEnd"/>
      <w:r>
        <w:rPr>
          <w:rStyle w:val="Subst"/>
          <w:bCs/>
          <w:iCs/>
        </w:rPr>
        <w:t xml:space="preserve">. Самара, </w:t>
      </w:r>
      <w:proofErr w:type="spellStart"/>
      <w:r>
        <w:rPr>
          <w:rStyle w:val="Subst"/>
          <w:bCs/>
          <w:iCs/>
        </w:rPr>
        <w:t>вн</w:t>
      </w:r>
      <w:proofErr w:type="spellEnd"/>
      <w:r>
        <w:rPr>
          <w:rStyle w:val="Subst"/>
          <w:bCs/>
          <w:iCs/>
        </w:rPr>
        <w:t>. р-н Ленинский, г. Самара, ул. Рабочая, д. 69, офис Н2</w:t>
      </w:r>
      <w:r>
        <w:rPr>
          <w:rStyle w:val="Subst"/>
          <w:bCs/>
          <w:iCs/>
        </w:rPr>
        <w:br/>
        <w:t xml:space="preserve">ИНН: 6318242436, ОГРН: 1146318003897, </w:t>
      </w:r>
      <w:r>
        <w:rPr>
          <w:rStyle w:val="Subst"/>
          <w:bCs/>
          <w:iCs/>
        </w:rPr>
        <w:br/>
        <w:t>ООО «БЕВ» владеет 51,2% уставного капитала ООО «ЭнергоИнвест»</w:t>
      </w:r>
      <w:r>
        <w:rPr>
          <w:rStyle w:val="Subst"/>
          <w:bCs/>
          <w:iCs/>
        </w:rPr>
        <w:br/>
        <w:t>2. Полное фирменное наименование: Общество с ограниченной ответственностью "ЭнергоИнвест"</w:t>
      </w:r>
      <w:r>
        <w:rPr>
          <w:rStyle w:val="Subst"/>
          <w:bCs/>
          <w:iCs/>
        </w:rPr>
        <w:br/>
        <w:t>Сокращенное фирменное наименование: ООО "ЭнергоИнвест"</w:t>
      </w:r>
      <w:r>
        <w:rPr>
          <w:rStyle w:val="Subst"/>
          <w:bCs/>
          <w:iCs/>
        </w:rPr>
        <w:br/>
        <w:t>Место нахождения: 430016, Республика Мордовия, г. Саранск, ул. Большевистская, д. 117А</w:t>
      </w:r>
      <w:r>
        <w:rPr>
          <w:rStyle w:val="Subst"/>
          <w:bCs/>
          <w:iCs/>
        </w:rPr>
        <w:br/>
        <w:t xml:space="preserve">ИНН: 1328909550, ОГРН: 1081328000258, </w:t>
      </w:r>
      <w:r>
        <w:rPr>
          <w:rStyle w:val="Subst"/>
          <w:bCs/>
          <w:iCs/>
        </w:rPr>
        <w:br/>
        <w:t>ООО «ЭнергоИнвест» владеет 83,95% уставного капитала эмитента ПАО «Мордовская энергосбытовая компания».</w:t>
      </w:r>
    </w:p>
    <w:p w:rsidR="0076611B" w:rsidRDefault="0076611B" w:rsidP="00E223A1">
      <w:pPr>
        <w:ind w:left="200"/>
        <w:jc w:val="both"/>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Самостоятельное распоряжение</w:t>
      </w:r>
    </w:p>
    <w:p w:rsidR="0076611B" w:rsidRDefault="0076611B" w:rsidP="00E223A1">
      <w:pPr>
        <w:ind w:left="200"/>
        <w:jc w:val="both"/>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Участие (доля участия в уставном (складочном) капитале) в эмитенте</w:t>
      </w:r>
    </w:p>
    <w:p w:rsidR="0076611B" w:rsidRDefault="0076611B" w:rsidP="00E223A1">
      <w:pPr>
        <w:ind w:left="200"/>
        <w:jc w:val="both"/>
      </w:pPr>
      <w:r>
        <w:t>Иные сведения, указываемые эмитентом по собственному усмотрению:</w:t>
      </w:r>
      <w:r>
        <w:br/>
      </w:r>
      <w:r>
        <w:rPr>
          <w:rStyle w:val="Subst"/>
          <w:bCs/>
          <w:iCs/>
        </w:rPr>
        <w:t>не имеется</w:t>
      </w:r>
    </w:p>
    <w:p w:rsidR="0076611B" w:rsidRDefault="0076611B" w:rsidP="00E223A1">
      <w:pPr>
        <w:pStyle w:val="2"/>
        <w:jc w:val="both"/>
      </w:pPr>
      <w:bookmarkStart w:id="44" w:name="_Toc196398485"/>
      <w:r>
        <w:t xml:space="preserve">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w:t>
      </w:r>
      <w:r>
        <w:lastRenderedPageBreak/>
        <w:t>права (золотой акции)</w:t>
      </w:r>
      <w:bookmarkEnd w:id="44"/>
    </w:p>
    <w:p w:rsidR="00967806" w:rsidRPr="00967806" w:rsidRDefault="00967806" w:rsidP="00967806">
      <w:pPr>
        <w:ind w:left="200"/>
        <w:jc w:val="both"/>
      </w:pPr>
      <w:r w:rsidRPr="00967806">
        <w:rPr>
          <w:b/>
          <w:bCs/>
          <w:i/>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967806" w:rsidRPr="00967806" w:rsidRDefault="00967806" w:rsidP="00967806">
      <w:pPr>
        <w:ind w:left="200"/>
        <w:jc w:val="both"/>
      </w:pPr>
      <w:r w:rsidRPr="00967806">
        <w:rPr>
          <w:b/>
          <w:bCs/>
          <w:i/>
          <w:iCs/>
        </w:rPr>
        <w:t>В уставном капитале эмитента нет долей, находящихся в государственной (федеральной) собственности</w:t>
      </w:r>
    </w:p>
    <w:p w:rsidR="00967806" w:rsidRPr="00967806" w:rsidRDefault="00967806" w:rsidP="00967806">
      <w:pPr>
        <w:ind w:left="200"/>
        <w:jc w:val="both"/>
      </w:pPr>
      <w:r w:rsidRPr="00967806">
        <w:rPr>
          <w:b/>
          <w:bCs/>
          <w:i/>
          <w:iCs/>
        </w:rPr>
        <w:t>В уставном капитале эмитента нет долей, находящихся в собственности субъектов Российской Федерации</w:t>
      </w:r>
    </w:p>
    <w:p w:rsidR="00967806" w:rsidRPr="00967806" w:rsidRDefault="00967806" w:rsidP="00967806">
      <w:pPr>
        <w:ind w:left="200"/>
        <w:jc w:val="both"/>
      </w:pPr>
      <w:r w:rsidRPr="00967806">
        <w:rPr>
          <w:b/>
          <w:bCs/>
          <w:i/>
          <w:iCs/>
        </w:rPr>
        <w:t>В уставном капитале эмитента нет долей, находящихся в муниципальной собственности</w:t>
      </w:r>
    </w:p>
    <w:p w:rsidR="00967806" w:rsidRPr="00967806" w:rsidRDefault="00967806" w:rsidP="00967806">
      <w:pPr>
        <w:spacing w:before="240"/>
        <w:ind w:left="200"/>
      </w:pPr>
      <w:r w:rsidRPr="00967806">
        <w:t>Сведения об управляющих государственными, муниципальными пакетами акций</w:t>
      </w:r>
    </w:p>
    <w:p w:rsidR="00967806" w:rsidRPr="00967806" w:rsidRDefault="00967806" w:rsidP="00967806">
      <w:pPr>
        <w:ind w:left="200"/>
        <w:jc w:val="both"/>
        <w:rPr>
          <w:b/>
          <w:bCs/>
          <w:i/>
          <w:iCs/>
        </w:rPr>
      </w:pPr>
      <w:r w:rsidRPr="00967806">
        <w:rPr>
          <w:b/>
          <w:bCs/>
          <w:i/>
          <w:iCs/>
        </w:rPr>
        <w:t>Указанных лиц нет</w:t>
      </w:r>
    </w:p>
    <w:p w:rsidR="00967806" w:rsidRPr="00967806" w:rsidRDefault="00967806" w:rsidP="00967806">
      <w:pPr>
        <w:spacing w:before="240"/>
        <w:ind w:left="200"/>
      </w:pPr>
      <w:r w:rsidRPr="00967806">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967806" w:rsidRPr="00967806" w:rsidRDefault="00967806" w:rsidP="00967806">
      <w:pPr>
        <w:ind w:left="200"/>
        <w:jc w:val="both"/>
        <w:rPr>
          <w:b/>
          <w:bCs/>
          <w:i/>
          <w:iCs/>
        </w:rPr>
      </w:pPr>
      <w:r w:rsidRPr="00967806">
        <w:rPr>
          <w:b/>
          <w:bCs/>
          <w:i/>
          <w:iCs/>
        </w:rPr>
        <w:t>Указанных лиц нет</w:t>
      </w:r>
    </w:p>
    <w:p w:rsidR="00967806" w:rsidRPr="00967806" w:rsidRDefault="00967806" w:rsidP="00967806">
      <w:pPr>
        <w:spacing w:before="240"/>
        <w:ind w:left="200"/>
      </w:pPr>
      <w:r w:rsidRPr="00967806">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967806" w:rsidRPr="00967806" w:rsidRDefault="00967806" w:rsidP="00967806">
      <w:pPr>
        <w:ind w:left="200"/>
        <w:jc w:val="both"/>
        <w:rPr>
          <w:b/>
          <w:bCs/>
          <w:i/>
          <w:iCs/>
        </w:rPr>
      </w:pPr>
      <w:r w:rsidRPr="00967806">
        <w:rPr>
          <w:b/>
          <w:bCs/>
          <w:i/>
          <w:iCs/>
        </w:rPr>
        <w:t>Указанное право не предусмотрено</w:t>
      </w:r>
    </w:p>
    <w:p w:rsidR="0076611B" w:rsidRDefault="0076611B" w:rsidP="00E223A1">
      <w:pPr>
        <w:pStyle w:val="2"/>
        <w:jc w:val="both"/>
      </w:pPr>
      <w:bookmarkStart w:id="45" w:name="_Toc196398486"/>
      <w:r>
        <w:t>3.4. Сделки эмитента, в совершении которых имелась заинтересованность</w:t>
      </w:r>
      <w:bookmarkEnd w:id="45"/>
    </w:p>
    <w:p w:rsidR="0076611B" w:rsidRDefault="0076611B" w:rsidP="006A71D6">
      <w:pPr>
        <w:pStyle w:val="SubHeading"/>
        <w:ind w:left="200"/>
        <w:jc w:val="both"/>
      </w:pPr>
      <w:r>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2F658A" w:rsidRDefault="002F658A" w:rsidP="002F658A">
      <w:pPr>
        <w:pStyle w:val="SubHeading"/>
        <w:spacing w:before="0"/>
        <w:ind w:left="200"/>
        <w:jc w:val="both"/>
      </w:pPr>
    </w:p>
    <w:p w:rsidR="0076611B" w:rsidRDefault="0076611B" w:rsidP="006A71D6">
      <w:pPr>
        <w:pStyle w:val="SubHeading"/>
        <w:spacing w:before="0"/>
        <w:ind w:left="200"/>
        <w:jc w:val="both"/>
      </w:pPr>
      <w:r>
        <w:t>Дата совершения сделки, либо дата совершения первой сделки из последовательности взаимосвязанных:</w:t>
      </w:r>
      <w:r w:rsidR="00E1087C" w:rsidRPr="006A71D6">
        <w:t xml:space="preserve"> 01.10.2024</w:t>
      </w:r>
    </w:p>
    <w:p w:rsidR="006A71D6" w:rsidRDefault="006A71D6" w:rsidP="006A71D6">
      <w:pPr>
        <w:pStyle w:val="SubHeading"/>
        <w:spacing w:before="0"/>
        <w:ind w:left="200"/>
        <w:jc w:val="both"/>
      </w:pPr>
    </w:p>
    <w:p w:rsidR="0076611B" w:rsidRPr="006A71D6" w:rsidRDefault="0076611B" w:rsidP="006A71D6">
      <w:pPr>
        <w:pStyle w:val="SubHeading"/>
        <w:spacing w:before="0"/>
        <w:ind w:left="200"/>
        <w:jc w:val="both"/>
        <w:rPr>
          <w:b/>
          <w:i/>
        </w:rPr>
      </w:pPr>
      <w:r>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6A71D6">
        <w:rPr>
          <w:b/>
          <w:i/>
        </w:rPr>
        <w:t xml:space="preserve"> Мордвинова Екатерина Владимировна</w:t>
      </w:r>
    </w:p>
    <w:p w:rsidR="0076611B" w:rsidRDefault="0076611B" w:rsidP="00E223A1">
      <w:pPr>
        <w:ind w:left="400"/>
        <w:jc w:val="both"/>
      </w:pPr>
      <w:r>
        <w:t>Существенные условия сделки:</w:t>
      </w:r>
      <w:r>
        <w:br/>
      </w:r>
      <w:r>
        <w:rPr>
          <w:rStyle w:val="Subst"/>
          <w:bCs/>
          <w:iCs/>
        </w:rPr>
        <w:t>Стороны договора: Индивидуальный предприниматель Мордвинова Екатерина Владимировна - Арендодатель, Выгодоприобретатель; Публичное акционерное общество «Мордовская энергосбытовая компания» – Арендатор;</w:t>
      </w:r>
      <w:r>
        <w:rPr>
          <w:rStyle w:val="Subst"/>
          <w:bCs/>
          <w:iCs/>
        </w:rPr>
        <w:br/>
        <w:t xml:space="preserve">Предмет договора: Арендодатель предоставляет Арендатору во временное пользование за плату объекты недвижимого имущества - нежилое помещение №н2, общей площадью 93,9 кв. м., этаж №1, расположенное по адресу: Самарская область, </w:t>
      </w:r>
      <w:proofErr w:type="spellStart"/>
      <w:r>
        <w:rPr>
          <w:rStyle w:val="Subst"/>
          <w:bCs/>
          <w:iCs/>
        </w:rPr>
        <w:t>г.о</w:t>
      </w:r>
      <w:proofErr w:type="spellEnd"/>
      <w:r>
        <w:rPr>
          <w:rStyle w:val="Subst"/>
          <w:bCs/>
          <w:iCs/>
        </w:rPr>
        <w:t xml:space="preserve">. Самара, Ленинский район, ул. Рабочая, дом 69, принадлежащее Арендодателю на основании договора купли-продажи нежилого помещения №33-н2-п от 01.12.2020 г. зарегистрировано в Едином государственном реестре прав недвижимости 08.12.2020 г., кадастровый номер 63:01:0513005:747, и нежилое помещение №н3, общей площадью 94,7 </w:t>
      </w:r>
      <w:proofErr w:type="spellStart"/>
      <w:r>
        <w:rPr>
          <w:rStyle w:val="Subst"/>
          <w:bCs/>
          <w:iCs/>
        </w:rPr>
        <w:t>кв.м</w:t>
      </w:r>
      <w:proofErr w:type="spellEnd"/>
      <w:r>
        <w:rPr>
          <w:rStyle w:val="Subst"/>
          <w:bCs/>
          <w:iCs/>
        </w:rPr>
        <w:t xml:space="preserve">, этаж №1, расположенное по адресу: Самарская область, </w:t>
      </w:r>
      <w:proofErr w:type="spellStart"/>
      <w:r>
        <w:rPr>
          <w:rStyle w:val="Subst"/>
          <w:bCs/>
          <w:iCs/>
        </w:rPr>
        <w:t>г.о</w:t>
      </w:r>
      <w:proofErr w:type="spellEnd"/>
      <w:r>
        <w:rPr>
          <w:rStyle w:val="Subst"/>
          <w:bCs/>
          <w:iCs/>
        </w:rPr>
        <w:t xml:space="preserve">. Самара, Ленинский район, ул. Рабочая, дом 69, принадлежащее Арендодателю на основании договора купли-продажи нежилого помещения №33-н3-п от 01.12.2020 г. зарегистрировано в Едином государственном реестре прав недвижимости 08.12.2020 г., кадастровый номер 63:01:0513005:748, с целью организации в </w:t>
      </w:r>
      <w:proofErr w:type="spellStart"/>
      <w:r>
        <w:rPr>
          <w:rStyle w:val="Subst"/>
          <w:bCs/>
          <w:iCs/>
        </w:rPr>
        <w:t>арендумеых</w:t>
      </w:r>
      <w:proofErr w:type="spellEnd"/>
      <w:r>
        <w:rPr>
          <w:rStyle w:val="Subst"/>
          <w:bCs/>
          <w:iCs/>
        </w:rPr>
        <w:t xml:space="preserve"> помещениях деятельности Совета директоров ПАО "Мордовская энергосбытовая компания", в том числе проведение очных (очно-заочных) заседаний;</w:t>
      </w:r>
      <w:r>
        <w:rPr>
          <w:rStyle w:val="Subst"/>
          <w:bCs/>
          <w:iCs/>
        </w:rPr>
        <w:br/>
        <w:t>Сумма сделки: Общая стоимость аренды помещений составляет 300 000 (триста тысяч) руб. в месяц;</w:t>
      </w:r>
      <w:r>
        <w:rPr>
          <w:rStyle w:val="Subst"/>
          <w:bCs/>
          <w:iCs/>
        </w:rPr>
        <w:br/>
        <w:t>Срок сделки: Договор заключается на срок 11 месяцев с «01» октября 2024 г. по «01» сентября 2025 г.;</w:t>
      </w:r>
      <w:r>
        <w:rPr>
          <w:rStyle w:val="Subst"/>
          <w:bCs/>
          <w:iCs/>
        </w:rPr>
        <w:br/>
        <w:t>Согласно п. 1.1. п 1 ст. 81 Закона об акционерных обществах члены Совета директоров извещены Обществом о сделке 13.09.2024 г.</w:t>
      </w:r>
    </w:p>
    <w:p w:rsidR="0076611B" w:rsidRDefault="0076611B" w:rsidP="002F658A">
      <w:pPr>
        <w:pStyle w:val="SubHeading"/>
        <w:spacing w:before="0"/>
        <w:ind w:left="200"/>
        <w:jc w:val="both"/>
      </w:pPr>
      <w:r>
        <w:t>Решение о согласии на совершение сделки или ее последующем одобрении не принималось:</w:t>
      </w:r>
      <w:r w:rsidRPr="002F658A">
        <w:rPr>
          <w:b/>
          <w:i/>
        </w:rPr>
        <w:t xml:space="preserve"> Да</w:t>
      </w:r>
    </w:p>
    <w:p w:rsidR="0076611B" w:rsidRDefault="0076611B" w:rsidP="002F658A">
      <w:pPr>
        <w:pStyle w:val="SubHeading"/>
        <w:spacing w:before="0"/>
        <w:ind w:left="200"/>
        <w:jc w:val="both"/>
      </w:pPr>
      <w:r>
        <w:lastRenderedPageBreak/>
        <w:t>Размер сделки (группы взаимосвязанных сделок) составлял 2 и более процента балансовой стоимости активов эмитента:</w:t>
      </w:r>
      <w:r w:rsidRPr="002F658A">
        <w:rPr>
          <w:b/>
          <w:i/>
        </w:rPr>
        <w:t xml:space="preserve"> Нет</w:t>
      </w:r>
    </w:p>
    <w:p w:rsidR="0076611B" w:rsidRDefault="0076611B" w:rsidP="00E223A1">
      <w:pPr>
        <w:pStyle w:val="2"/>
        <w:jc w:val="both"/>
      </w:pPr>
      <w:bookmarkStart w:id="46" w:name="_Toc196398487"/>
      <w:r>
        <w:t>3.5. Крупные сделки эмитента</w:t>
      </w:r>
      <w:bookmarkEnd w:id="46"/>
    </w:p>
    <w:p w:rsidR="0076611B" w:rsidRDefault="0076611B" w:rsidP="00E223A1">
      <w:pPr>
        <w:pStyle w:val="SubHeading"/>
        <w:ind w:left="200"/>
        <w:jc w:val="both"/>
      </w:pPr>
      <w: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rsidR="0076611B" w:rsidRDefault="0076611B" w:rsidP="00E24079">
      <w:pPr>
        <w:pStyle w:val="SubHeading"/>
        <w:spacing w:before="0"/>
        <w:ind w:left="200"/>
        <w:jc w:val="both"/>
      </w:pPr>
      <w:r w:rsidRPr="00E24079">
        <w:rPr>
          <w:b/>
          <w:i/>
        </w:rPr>
        <w:t>Указанных сделок не совершалось</w:t>
      </w:r>
    </w:p>
    <w:p w:rsidR="0076611B" w:rsidRDefault="0076611B" w:rsidP="00E223A1">
      <w:pPr>
        <w:pStyle w:val="1"/>
        <w:jc w:val="both"/>
      </w:pPr>
      <w:bookmarkStart w:id="47" w:name="_Toc196398488"/>
      <w:r>
        <w:t>Раздел 4. Дополнительные сведения об эмитенте и о размещенных им ценных бумагах</w:t>
      </w:r>
      <w:bookmarkEnd w:id="47"/>
    </w:p>
    <w:p w:rsidR="0076611B" w:rsidRDefault="0076611B" w:rsidP="00E223A1">
      <w:pPr>
        <w:pStyle w:val="2"/>
        <w:jc w:val="both"/>
      </w:pPr>
      <w:bookmarkStart w:id="48" w:name="_Toc196398489"/>
      <w:r>
        <w:t>4.1. Подконтрольные эмитенту организации, имеющие для него существенное значение</w:t>
      </w:r>
      <w:bookmarkEnd w:id="48"/>
    </w:p>
    <w:p w:rsidR="00C465A6" w:rsidRDefault="00C465A6" w:rsidP="00C465A6">
      <w:pPr>
        <w:ind w:left="200"/>
      </w:pPr>
      <w:r>
        <w:rPr>
          <w:rStyle w:val="Subst"/>
          <w:bCs/>
          <w:iCs/>
        </w:rPr>
        <w:t>Эмитент не имеет подконтрольных организаций, имеющих для него существенное значение</w:t>
      </w:r>
    </w:p>
    <w:p w:rsidR="00C465A6" w:rsidRDefault="00C465A6" w:rsidP="00C465A6">
      <w:pPr>
        <w:ind w:left="200"/>
      </w:pPr>
    </w:p>
    <w:p w:rsidR="00C465A6" w:rsidRDefault="00C465A6" w:rsidP="00334EF9">
      <w:pPr>
        <w:ind w:left="200"/>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76611B" w:rsidRDefault="0076611B" w:rsidP="00E223A1">
      <w:pPr>
        <w:pStyle w:val="2"/>
        <w:jc w:val="both"/>
      </w:pPr>
      <w:bookmarkStart w:id="49" w:name="_Toc196398490"/>
      <w: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49"/>
    </w:p>
    <w:p w:rsidR="0076611B" w:rsidRDefault="0076611B" w:rsidP="00E223A1">
      <w:pPr>
        <w:ind w:left="200"/>
        <w:jc w:val="both"/>
      </w:pPr>
      <w:r>
        <w:rPr>
          <w:rStyle w:val="Subst"/>
          <w:bCs/>
          <w:iCs/>
        </w:rPr>
        <w:t>У эмитента отсутствуют в обращении облигации, в том числе размещённые в рамках программы облигаций, которые бы идентифицировались эмитентом как "зеленые облигации" и (или) "социальные облигации", и (или) "облигации устойчивого развития", и (или) "адаптационные облигации"</w:t>
      </w:r>
    </w:p>
    <w:p w:rsidR="0076611B" w:rsidRDefault="0076611B" w:rsidP="00E223A1">
      <w:pPr>
        <w:pStyle w:val="2"/>
        <w:jc w:val="both"/>
      </w:pPr>
      <w:bookmarkStart w:id="50" w:name="_Toc196398491"/>
      <w: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50"/>
    </w:p>
    <w:p w:rsidR="0076611B" w:rsidRDefault="0076611B" w:rsidP="00E223A1">
      <w:pPr>
        <w:ind w:left="200"/>
        <w:jc w:val="both"/>
      </w:pPr>
      <w:r>
        <w:t>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обществом как "зеленые облигации" и (или) "социальные облигации", и (или) "облигации устойчивого развития", и (или) "адаптационные облигации"</w:t>
      </w:r>
    </w:p>
    <w:p w:rsidR="0076611B" w:rsidRDefault="0076611B" w:rsidP="00E223A1">
      <w:pPr>
        <w:pStyle w:val="2"/>
        <w:jc w:val="both"/>
      </w:pPr>
      <w:bookmarkStart w:id="51" w:name="_Toc196398492"/>
      <w: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51"/>
    </w:p>
    <w:p w:rsidR="0076611B" w:rsidRDefault="0076611B" w:rsidP="00E223A1">
      <w:pPr>
        <w:ind w:left="200"/>
        <w:jc w:val="both"/>
      </w:pPr>
      <w:r>
        <w:t>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обществом как "зеленые облигации" и (или) "социальные облигации", и (или) "облигации устойчивого развития", и (или) "адаптационные облигации"</w:t>
      </w:r>
    </w:p>
    <w:p w:rsidR="0076611B" w:rsidRDefault="0076611B" w:rsidP="00E223A1">
      <w:pPr>
        <w:pStyle w:val="2"/>
        <w:jc w:val="both"/>
      </w:pPr>
      <w:bookmarkStart w:id="52" w:name="_Toc196398493"/>
      <w: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52"/>
    </w:p>
    <w:p w:rsidR="0076611B" w:rsidRDefault="0076611B" w:rsidP="00E223A1">
      <w:pPr>
        <w:ind w:left="200"/>
        <w:jc w:val="both"/>
      </w:pPr>
      <w:r>
        <w:t>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обществом как "зеленые облигации" и (или) "социальные облигации", и (или) "облигации устойчивого развития", и (или) "адаптационные облигации"</w:t>
      </w:r>
    </w:p>
    <w:p w:rsidR="0076611B" w:rsidRDefault="0076611B" w:rsidP="00E223A1">
      <w:pPr>
        <w:pStyle w:val="2"/>
        <w:jc w:val="both"/>
      </w:pPr>
      <w:bookmarkStart w:id="53" w:name="_Toc196398494"/>
      <w:r>
        <w:t>4.2(1). Дополнительные сведения, раскрываемые эмитентами инфраструктурных облигаций</w:t>
      </w:r>
      <w:bookmarkEnd w:id="53"/>
    </w:p>
    <w:p w:rsidR="0076611B" w:rsidRDefault="0076611B" w:rsidP="00E223A1">
      <w:pPr>
        <w:ind w:left="200"/>
        <w:jc w:val="both"/>
      </w:pPr>
      <w:r>
        <w:rPr>
          <w:rStyle w:val="Subst"/>
          <w:bCs/>
          <w:iCs/>
        </w:rPr>
        <w:t>У эмитента отсутствуют в обращении инфраструктурные облигации</w:t>
      </w:r>
    </w:p>
    <w:p w:rsidR="0076611B" w:rsidRDefault="0076611B" w:rsidP="00E223A1">
      <w:pPr>
        <w:pStyle w:val="2"/>
        <w:jc w:val="both"/>
      </w:pPr>
      <w:bookmarkStart w:id="54" w:name="_Toc196398495"/>
      <w:r>
        <w:lastRenderedPageBreak/>
        <w:t>4.2(2). Дополнительные сведения, раскрываемые эмитентами облигаций, связанных с целями устойчивого развития</w:t>
      </w:r>
      <w:bookmarkEnd w:id="54"/>
    </w:p>
    <w:p w:rsidR="0076611B" w:rsidRDefault="0076611B" w:rsidP="00E223A1">
      <w:pPr>
        <w:ind w:left="200"/>
        <w:jc w:val="both"/>
      </w:pPr>
      <w:r>
        <w:rPr>
          <w:rStyle w:val="Subst"/>
          <w:bCs/>
          <w:iCs/>
        </w:rPr>
        <w:t>У эмитента отсутствуют в обращении облигации, связанные с целями устойчивого развития</w:t>
      </w:r>
    </w:p>
    <w:p w:rsidR="0076611B" w:rsidRDefault="0076611B" w:rsidP="00E223A1">
      <w:pPr>
        <w:pStyle w:val="2"/>
        <w:jc w:val="both"/>
      </w:pPr>
      <w:bookmarkStart w:id="55" w:name="_Toc196398496"/>
      <w:r>
        <w:t>4.2(3). Дополнительные сведения, раскрываемые эмитентами облигаций климатического перехода</w:t>
      </w:r>
      <w:bookmarkEnd w:id="55"/>
    </w:p>
    <w:p w:rsidR="0076611B" w:rsidRDefault="0076611B" w:rsidP="00E223A1">
      <w:pPr>
        <w:ind w:left="200"/>
        <w:jc w:val="both"/>
      </w:pPr>
      <w:r>
        <w:rPr>
          <w:rStyle w:val="Subst"/>
          <w:bCs/>
          <w:iCs/>
        </w:rPr>
        <w:t>У эмитента отсутствуют в обращении облигации климатического перехода</w:t>
      </w:r>
    </w:p>
    <w:p w:rsidR="007A7ED1" w:rsidRDefault="007A7ED1" w:rsidP="005F7BC6">
      <w:pPr>
        <w:pStyle w:val="2"/>
        <w:jc w:val="both"/>
      </w:pPr>
      <w:bookmarkStart w:id="56" w:name="_Toc196398497"/>
      <w: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56"/>
    </w:p>
    <w:p w:rsidR="007A7ED1" w:rsidRPr="005F7BC6" w:rsidRDefault="007A7ED1" w:rsidP="005F7BC6">
      <w:pPr>
        <w:ind w:left="200"/>
        <w:jc w:val="both"/>
        <w:rPr>
          <w:b/>
          <w:i/>
        </w:rPr>
      </w:pPr>
      <w:r w:rsidRPr="005F7BC6">
        <w:rPr>
          <w:b/>
          <w:i/>
        </w:rPr>
        <w:t>В обращении нет облигаций эмитента, в отношении которых зарегистрирован проспект или размещенны</w:t>
      </w:r>
      <w:r w:rsidR="00B66143">
        <w:rPr>
          <w:b/>
          <w:i/>
        </w:rPr>
        <w:t>х</w:t>
      </w:r>
      <w:r w:rsidRPr="005F7BC6">
        <w:rPr>
          <w:b/>
          <w:i/>
        </w:rPr>
        <w:t xml:space="preserve"> путем открытой подписки, в отношении которых предоставлено обеспечение</w:t>
      </w:r>
    </w:p>
    <w:p w:rsidR="007A7ED1" w:rsidRDefault="007A7ED1" w:rsidP="005F7BC6">
      <w:pPr>
        <w:pStyle w:val="2"/>
        <w:jc w:val="both"/>
      </w:pPr>
      <w:bookmarkStart w:id="57" w:name="_Toc196398498"/>
      <w:r>
        <w:t>4.3.1. Дополнительные сведения об ипотечном покрытии по облигациям эмитента с ипотечным покрытием</w:t>
      </w:r>
      <w:bookmarkEnd w:id="57"/>
    </w:p>
    <w:p w:rsidR="007A7ED1" w:rsidRDefault="007A7ED1" w:rsidP="005F7BC6">
      <w:pPr>
        <w:ind w:left="200"/>
        <w:jc w:val="both"/>
      </w:pPr>
      <w:r>
        <w:rPr>
          <w:rStyle w:val="Subst"/>
        </w:rPr>
        <w:t>Информация в настоящем пункте не приводится в связи с тем, что эмитент не размещал облигации с ипотечным покрытием</w:t>
      </w:r>
    </w:p>
    <w:p w:rsidR="007A7ED1" w:rsidRDefault="007A7ED1" w:rsidP="005F7BC6">
      <w:pPr>
        <w:pStyle w:val="2"/>
        <w:jc w:val="both"/>
      </w:pPr>
      <w:bookmarkStart w:id="58" w:name="_Toc196398499"/>
      <w: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58"/>
    </w:p>
    <w:p w:rsidR="007A7ED1" w:rsidRDefault="007A7ED1" w:rsidP="005F7BC6">
      <w:pPr>
        <w:ind w:left="200"/>
        <w:jc w:val="both"/>
      </w:pPr>
      <w:r>
        <w:rPr>
          <w:rStyle w:val="Subst"/>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rsidR="007A5227" w:rsidRPr="00A17044" w:rsidRDefault="007A7ED1" w:rsidP="005F7BC6">
      <w:pPr>
        <w:ind w:left="200"/>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w:t>
      </w:r>
      <w:r w:rsidR="005F7BC6">
        <w:t>рмации изменения не происходили</w:t>
      </w:r>
    </w:p>
    <w:p w:rsidR="0076611B" w:rsidRDefault="0076611B" w:rsidP="00E223A1">
      <w:pPr>
        <w:pStyle w:val="2"/>
        <w:jc w:val="both"/>
      </w:pPr>
      <w:bookmarkStart w:id="59" w:name="_Toc196398500"/>
      <w:r>
        <w:t>4.4. Сведения об объявленных и выплаченных дивидендах по акциям эмитента</w:t>
      </w:r>
      <w:bookmarkEnd w:id="59"/>
    </w:p>
    <w:p w:rsidR="0076611B" w:rsidRDefault="0076611B" w:rsidP="00E223A1">
      <w:pPr>
        <w:ind w:left="200"/>
        <w:jc w:val="both"/>
      </w:pPr>
      <w: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rsidR="00F17F34" w:rsidRPr="00F17F34" w:rsidRDefault="00F17F34" w:rsidP="00F17F34">
      <w:pPr>
        <w:spacing w:before="0" w:after="0"/>
        <w:jc w:val="both"/>
        <w:rPr>
          <w:rStyle w:val="Subst"/>
        </w:rPr>
      </w:pPr>
      <w:r w:rsidRPr="00F17F34">
        <w:rPr>
          <w:rStyle w:val="Subst"/>
        </w:rPr>
        <w:t>Из</w:t>
      </w:r>
      <w:r w:rsidR="00C65C40" w:rsidRPr="00F17F34">
        <w:rPr>
          <w:rStyle w:val="Subst"/>
        </w:rPr>
        <w:t xml:space="preserve"> числа последних трех завершенных отчетных лет решения о выплате (объявлении) дивидендов не принимались в 2022 году (Протокол</w:t>
      </w:r>
      <w:r w:rsidRPr="00F17F34">
        <w:rPr>
          <w:rStyle w:val="Subst"/>
        </w:rPr>
        <w:t>№27 от 29.06.2022 г.).</w:t>
      </w:r>
    </w:p>
    <w:p w:rsidR="00F17F34" w:rsidRPr="00F17F34" w:rsidRDefault="00F17F34" w:rsidP="00F17F34">
      <w:pPr>
        <w:spacing w:before="0" w:after="0"/>
        <w:jc w:val="both"/>
        <w:rPr>
          <w:rStyle w:val="Subst"/>
        </w:rPr>
      </w:pPr>
      <w:r w:rsidRPr="00F17F34">
        <w:rPr>
          <w:rStyle w:val="Subst"/>
        </w:rPr>
        <w:t>На годовом Общем собрании акционеров в 2021 г. было принято решение о выплате дивидендов по результатам отчетного 2020 года в сумме 49 999,1 тыс. рублей, размер дивиденда составил 0,037173 рубля на одну обыкновенную акцию Общества. Также в 2021 году на внеочередном Общем собрании акционеров было принято ре</w:t>
      </w:r>
      <w:r w:rsidRPr="00F17F34">
        <w:rPr>
          <w:rStyle w:val="Subst"/>
        </w:rPr>
        <w:softHyphen/>
        <w:t>шение о выплате дивидендов по обыкновенным акциям Общества из нераспределенной чистой прибыли Общества в размере 31 038, 1 тыс. рублей, размер дивиденда составил 0,023076 рубля на одну обыкновенную акцию Обще</w:t>
      </w:r>
      <w:r w:rsidRPr="00F17F34">
        <w:rPr>
          <w:rStyle w:val="Subst"/>
        </w:rPr>
        <w:softHyphen/>
        <w:t>ства.</w:t>
      </w:r>
    </w:p>
    <w:p w:rsidR="00F17F34" w:rsidRPr="00F17F34" w:rsidRDefault="00C65C40" w:rsidP="00F17F34">
      <w:pPr>
        <w:spacing w:before="0" w:after="0"/>
        <w:jc w:val="both"/>
        <w:rPr>
          <w:rStyle w:val="Subst"/>
        </w:rPr>
      </w:pPr>
      <w:r w:rsidRPr="00F17F34">
        <w:rPr>
          <w:rStyle w:val="Subst"/>
        </w:rPr>
        <w:t>На годовом Общем собрании акционеров в 2023 г. было принято решение о выплате дивидендов по результатам отчетного 2022 года в сумме 44 074,2 тыс. рублей, размер дивиденда составил 0,032768 рубля на одну обыкновенную акцию Общества. Также в 2023 году на внеочередном Общем собрании акционеров было принято ре</w:t>
      </w:r>
      <w:r w:rsidRPr="00F17F34">
        <w:rPr>
          <w:rStyle w:val="Subst"/>
        </w:rPr>
        <w:softHyphen/>
        <w:t>шение о выплате дивидендов по обыкновенным акциям Общества из нераспределенной чистой прибыли Общества, полученной за 2021 финансовый год, в размере 50 031,4 тыс. рублей, размер дивиденда составил 0,037197 рубля на одну обыкновенную акцию Обще</w:t>
      </w:r>
      <w:r w:rsidRPr="00F17F34">
        <w:rPr>
          <w:rStyle w:val="Subst"/>
        </w:rPr>
        <w:softHyphen/>
        <w:t>ства.</w:t>
      </w:r>
    </w:p>
    <w:p w:rsidR="00C65C40" w:rsidRPr="00F17F34" w:rsidRDefault="00C65C40" w:rsidP="00F17F34">
      <w:pPr>
        <w:spacing w:before="0" w:after="0"/>
        <w:jc w:val="both"/>
        <w:rPr>
          <w:rStyle w:val="Subst"/>
        </w:rPr>
      </w:pPr>
      <w:r w:rsidRPr="00F17F34">
        <w:rPr>
          <w:rStyle w:val="Subst"/>
        </w:rPr>
        <w:t>На годовом Общем собрании акционеров в 2024 г. было принято решение не выплачивать дивиденды по обыкновенным акциям Общества по результатам 2023 года. Также в 2024 году на внеочередном Общем собрании акционеров было принято ре</w:t>
      </w:r>
      <w:r w:rsidRPr="00F17F34">
        <w:rPr>
          <w:rStyle w:val="Subst"/>
        </w:rPr>
        <w:softHyphen/>
        <w:t xml:space="preserve">шение о выплате дивидендов по обыкновенным акциям Общества в размере 0,091818 рублей на одну обыкновенную акцию Общества в денежной форме. Источником выплаты дивидендов явилась нераспределенная прибыль прошлых лет в размере 123 498 672,46 руб. </w:t>
      </w:r>
    </w:p>
    <w:p w:rsidR="000162EB" w:rsidRDefault="000162EB" w:rsidP="000162EB">
      <w:pPr>
        <w:pStyle w:val="ThinDelim"/>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0162EB" w:rsidTr="00753B74">
        <w:tc>
          <w:tcPr>
            <w:tcW w:w="692" w:type="dxa"/>
            <w:tcBorders>
              <w:top w:val="double" w:sz="6" w:space="0" w:color="auto"/>
              <w:left w:val="double" w:sz="6" w:space="0" w:color="auto"/>
              <w:bottom w:val="single" w:sz="6" w:space="0" w:color="auto"/>
              <w:right w:val="single" w:sz="6" w:space="0" w:color="auto"/>
            </w:tcBorders>
          </w:tcPr>
          <w:p w:rsidR="000162EB" w:rsidRDefault="000162EB" w:rsidP="00753B74">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0162EB" w:rsidRDefault="000162EB" w:rsidP="00753B74">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0162EB" w:rsidRDefault="000162EB" w:rsidP="00753B74">
            <w:pPr>
              <w:jc w:val="center"/>
            </w:pPr>
            <w:r>
              <w:t>Отчетный период, за который (по результатам которого) выплачиваются (выплачивались) объявленные дивиденды - 2020г., полный год</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lastRenderedPageBreak/>
              <w:t>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3</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Категория (тип) акций: обыкновенные</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 Сведения об объявленных дивидендах</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0.037173</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49 999 086.89</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64.4</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67.7</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Чистая прибыль Общества за 2020 г.</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Годовое Общее собрание акционеров, дата принятия решения 25.06.2021 г., Протокол №25 от 25.06.2021 г.</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10</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01.06.2021</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Номинальным держателям и являющимся профессиональными участниками рынка ценных бумаг доверительным управляющим, зарегистрированным в реестре акционеров, осуществить не позднее 20 июля 2021 года, другим зарегистрированным в реестре акционеров держателям акций - не позднее 10 августа 2021 года.</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12</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Отсутствуют.</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II. Сведения о выплаченных дивидендах</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49 510 032.66</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99.02</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В соответствии с пунктом 16 статьи 8.2 Федерального закона от 22.04.1996 № 39 "О рынке ценных бумаг" дивиденды не выплачены лицам, по которым у эмитента и регистратора отсутствуют точные и необходимые для выплаты дивидендов адресные данные или банковские реквизиты. По мере поступления от акционеров необходимых сведений эмитент исполнит обязательства по выплате дивидендов в полном объеме.</w:t>
            </w:r>
          </w:p>
        </w:tc>
      </w:tr>
      <w:tr w:rsidR="000162EB" w:rsidTr="00753B74">
        <w:tc>
          <w:tcPr>
            <w:tcW w:w="692" w:type="dxa"/>
            <w:tcBorders>
              <w:top w:val="single" w:sz="6" w:space="0" w:color="auto"/>
              <w:left w:val="double" w:sz="6" w:space="0" w:color="auto"/>
              <w:bottom w:val="double" w:sz="6" w:space="0" w:color="auto"/>
              <w:right w:val="single" w:sz="6" w:space="0" w:color="auto"/>
            </w:tcBorders>
          </w:tcPr>
          <w:p w:rsidR="000162EB" w:rsidRDefault="000162EB" w:rsidP="00753B74">
            <w:pPr>
              <w:jc w:val="center"/>
            </w:pPr>
            <w:r>
              <w:t>17</w:t>
            </w:r>
          </w:p>
        </w:tc>
        <w:tc>
          <w:tcPr>
            <w:tcW w:w="5120" w:type="dxa"/>
            <w:tcBorders>
              <w:top w:val="single" w:sz="6" w:space="0" w:color="auto"/>
              <w:left w:val="single" w:sz="6" w:space="0" w:color="auto"/>
              <w:bottom w:val="double" w:sz="6" w:space="0" w:color="auto"/>
              <w:right w:val="single" w:sz="6" w:space="0" w:color="auto"/>
            </w:tcBorders>
          </w:tcPr>
          <w:p w:rsidR="000162EB" w:rsidRDefault="000162EB" w:rsidP="00753B74">
            <w:r>
              <w:t xml:space="preserve">Иные сведения о выплаченных дивидендах, указываемые </w:t>
            </w:r>
            <w:r>
              <w:lastRenderedPageBreak/>
              <w:t>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0162EB" w:rsidRDefault="000162EB" w:rsidP="00753B74">
            <w:r>
              <w:lastRenderedPageBreak/>
              <w:t>Отсутствуют.</w:t>
            </w:r>
          </w:p>
        </w:tc>
      </w:tr>
    </w:tbl>
    <w:p w:rsidR="000162EB" w:rsidRDefault="000162EB" w:rsidP="000162EB"/>
    <w:tbl>
      <w:tblPr>
        <w:tblW w:w="9252" w:type="dxa"/>
        <w:tblLayout w:type="fixed"/>
        <w:tblCellMar>
          <w:left w:w="72" w:type="dxa"/>
          <w:right w:w="72" w:type="dxa"/>
        </w:tblCellMar>
        <w:tblLook w:val="0000" w:firstRow="0" w:lastRow="0" w:firstColumn="0" w:lastColumn="0" w:noHBand="0" w:noVBand="0"/>
      </w:tblPr>
      <w:tblGrid>
        <w:gridCol w:w="692"/>
        <w:gridCol w:w="5120"/>
        <w:gridCol w:w="3440"/>
      </w:tblGrid>
      <w:tr w:rsidR="000162EB" w:rsidTr="000162EB">
        <w:tc>
          <w:tcPr>
            <w:tcW w:w="692" w:type="dxa"/>
            <w:tcBorders>
              <w:top w:val="double" w:sz="6" w:space="0" w:color="auto"/>
              <w:left w:val="double" w:sz="6" w:space="0" w:color="auto"/>
              <w:bottom w:val="single" w:sz="6" w:space="0" w:color="auto"/>
              <w:right w:val="single" w:sz="6" w:space="0" w:color="auto"/>
            </w:tcBorders>
          </w:tcPr>
          <w:p w:rsidR="000162EB" w:rsidRDefault="000162EB" w:rsidP="00753B74">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0162EB" w:rsidRDefault="000162EB" w:rsidP="00753B74">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0162EB" w:rsidRDefault="000162EB" w:rsidP="00753B74">
            <w:pPr>
              <w:jc w:val="center"/>
            </w:pPr>
            <w:r>
              <w:t>Отчетный период, за который (по результатам которого) выплачиваются (выплачивались) объявленные дивиденды - 2021г., 9 мес.</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3</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Категория (тип) акций: обыкновенные</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 Сведения об объявленных дивидендах</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0.023076</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31 038 090.2</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Данные отсутствуют, поскольку у эмитента не имелось обязанности раскрытия финансовой отчетности до 2021 г.</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22,4</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Нераспределенная чистая прибыль прошлых лет (2016 и 2017 гг.)</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Внеочередное общее собрание акционеров, дата принятия решения 23 ноября 2021 г., Протокол №26 от 25.11.2021 г.</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10</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06.12.2021</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0162EB">
            <w:r>
              <w:t>Номинальным держателям и являющимися профессиональными участниками рынка ценных бумаг доверительным управляющим, зарегистрированным в реестре акционеров, не позднее 20 декабря 2021 г., другим зарегистрированным в реестре акционеров держателям акций - не позднее 18 января 2022 г.</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12</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Доля объявленных дивидендов в чистой прибыли отчетного периода в размере 22,4%, за который (по результатам которого) выплачиваются (выплачивались) объявленные дивиденды, рассчитана по данным бухгалтерской отчетности за 9 месяцев 2021 г., однако такой расчет является формально некорректным, поскольку источник выплаты дивидендов – нераспределенная чистая прибыль прошлых лет.</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II. Сведения о выплаченных дивидендах</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lastRenderedPageBreak/>
              <w:t>14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30 712 250.98</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98.95</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В соответствии с пунктом 16 статьи 8.2 Федерального закона от 22.04.1996 № 39 "О рынке ценных бумаг" дивиденды не выплачены лицам, по которым у эмитента и регистратора отсутствуют точные и необходимые для выплаты дивидендов адресные данные или банковские реквизиты. По мере поступления от акционеров необходимых сведений эмитент исполнит обязательства по выплате дивидендов в полном объеме.</w:t>
            </w:r>
          </w:p>
        </w:tc>
      </w:tr>
      <w:tr w:rsidR="000162EB" w:rsidTr="000162EB">
        <w:tc>
          <w:tcPr>
            <w:tcW w:w="692" w:type="dxa"/>
            <w:tcBorders>
              <w:top w:val="single" w:sz="6" w:space="0" w:color="auto"/>
              <w:left w:val="double" w:sz="6" w:space="0" w:color="auto"/>
              <w:bottom w:val="double" w:sz="6" w:space="0" w:color="auto"/>
              <w:right w:val="single" w:sz="6" w:space="0" w:color="auto"/>
            </w:tcBorders>
          </w:tcPr>
          <w:p w:rsidR="000162EB" w:rsidRDefault="000162EB" w:rsidP="00753B74">
            <w:pPr>
              <w:jc w:val="center"/>
            </w:pPr>
            <w:r>
              <w:t>17</w:t>
            </w:r>
          </w:p>
        </w:tc>
        <w:tc>
          <w:tcPr>
            <w:tcW w:w="5120" w:type="dxa"/>
            <w:tcBorders>
              <w:top w:val="single" w:sz="6" w:space="0" w:color="auto"/>
              <w:left w:val="single" w:sz="6" w:space="0" w:color="auto"/>
              <w:bottom w:val="double" w:sz="6" w:space="0" w:color="auto"/>
              <w:right w:val="single" w:sz="6" w:space="0" w:color="auto"/>
            </w:tcBorders>
          </w:tcPr>
          <w:p w:rsidR="000162EB" w:rsidRDefault="000162EB" w:rsidP="00753B74">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0162EB" w:rsidRDefault="000162EB" w:rsidP="00753B74">
            <w:r>
              <w:t>Отсутствуют.</w:t>
            </w:r>
          </w:p>
        </w:tc>
      </w:tr>
    </w:tbl>
    <w:p w:rsidR="000162EB" w:rsidRDefault="000162EB" w:rsidP="000162EB"/>
    <w:tbl>
      <w:tblPr>
        <w:tblW w:w="9252" w:type="dxa"/>
        <w:tblLayout w:type="fixed"/>
        <w:tblCellMar>
          <w:left w:w="72" w:type="dxa"/>
          <w:right w:w="72" w:type="dxa"/>
        </w:tblCellMar>
        <w:tblLook w:val="0000" w:firstRow="0" w:lastRow="0" w:firstColumn="0" w:lastColumn="0" w:noHBand="0" w:noVBand="0"/>
      </w:tblPr>
      <w:tblGrid>
        <w:gridCol w:w="692"/>
        <w:gridCol w:w="5120"/>
        <w:gridCol w:w="3440"/>
      </w:tblGrid>
      <w:tr w:rsidR="000162EB" w:rsidTr="000162EB">
        <w:tc>
          <w:tcPr>
            <w:tcW w:w="692" w:type="dxa"/>
            <w:tcBorders>
              <w:top w:val="double" w:sz="6" w:space="0" w:color="auto"/>
              <w:left w:val="double" w:sz="6" w:space="0" w:color="auto"/>
              <w:bottom w:val="single" w:sz="6" w:space="0" w:color="auto"/>
              <w:right w:val="single" w:sz="6" w:space="0" w:color="auto"/>
            </w:tcBorders>
          </w:tcPr>
          <w:p w:rsidR="000162EB" w:rsidRDefault="000162EB" w:rsidP="00753B74">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0162EB" w:rsidRDefault="000162EB" w:rsidP="00753B74">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0162EB" w:rsidRDefault="000162EB" w:rsidP="00753B74">
            <w:pPr>
              <w:jc w:val="center"/>
            </w:pPr>
            <w:r>
              <w:t>Отчетный период, за который (по результатам которого) выплачиваются (выплачивались) объявленные дивиденды - 2022г., полный год</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3</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Категория (тип) акций: обыкновенные</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 Сведения об объявленных дивидендах</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0,032768</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44</w:t>
            </w:r>
            <w:r w:rsidR="0090186D">
              <w:t> </w:t>
            </w:r>
            <w:r>
              <w:t>074</w:t>
            </w:r>
            <w:r w:rsidR="0090186D">
              <w:t> 195.</w:t>
            </w:r>
            <w:r>
              <w:t>68</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46,32</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45,81</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Чистая прибыль Общества за 2022 г.</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Годовое Общее собрание акционеров, дата принятия решения 23.06.2023 г., Протокол №28 от 26.06.2023 г.</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10</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07.07.2023</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 xml:space="preserve">Номинальным держателям и являющимся профессиональными участниками рынка ценных бумаг доверительным управляющим, зарегистрированным в реестре акционеров, - не позднее 21 июля </w:t>
            </w:r>
            <w:r>
              <w:lastRenderedPageBreak/>
              <w:t>2023 года, другим зарегистрированным в реестре акционеров держателям акций - не позднее 11 августа 2023 года.</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lastRenderedPageBreak/>
              <w:t>12</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Отсутствуют.</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II. Сведения о выплаченных дивидендах</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43634883,52</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99</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В соответствии с пунктом 16 статьи 8.2 Федерального закона от 22.04.1996 № 39 "О рынке ценных бумаг" дивиденды не выплачены лицам, по которым у эмитента и регистратора отсутствуют точные и необходимые для выплаты дивидендов адресные данные или банковские реквизиты. По мере поступления от акционеров необходимых сведений эмитент исполнит обязательства по выплате дивидендов в полном объеме.</w:t>
            </w:r>
          </w:p>
        </w:tc>
      </w:tr>
      <w:tr w:rsidR="000162EB" w:rsidTr="000162EB">
        <w:tc>
          <w:tcPr>
            <w:tcW w:w="692" w:type="dxa"/>
            <w:tcBorders>
              <w:top w:val="single" w:sz="6" w:space="0" w:color="auto"/>
              <w:left w:val="double" w:sz="6" w:space="0" w:color="auto"/>
              <w:bottom w:val="double" w:sz="6" w:space="0" w:color="auto"/>
              <w:right w:val="single" w:sz="6" w:space="0" w:color="auto"/>
            </w:tcBorders>
          </w:tcPr>
          <w:p w:rsidR="000162EB" w:rsidRDefault="000162EB" w:rsidP="00753B74">
            <w:pPr>
              <w:jc w:val="center"/>
            </w:pPr>
            <w:r>
              <w:t>17</w:t>
            </w:r>
          </w:p>
        </w:tc>
        <w:tc>
          <w:tcPr>
            <w:tcW w:w="5120" w:type="dxa"/>
            <w:tcBorders>
              <w:top w:val="single" w:sz="6" w:space="0" w:color="auto"/>
              <w:left w:val="single" w:sz="6" w:space="0" w:color="auto"/>
              <w:bottom w:val="double" w:sz="6" w:space="0" w:color="auto"/>
              <w:right w:val="single" w:sz="6" w:space="0" w:color="auto"/>
            </w:tcBorders>
          </w:tcPr>
          <w:p w:rsidR="000162EB" w:rsidRDefault="000162EB" w:rsidP="00753B74">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0162EB" w:rsidRDefault="000162EB" w:rsidP="00753B74">
            <w:r>
              <w:t>Отсутствуют.</w:t>
            </w:r>
          </w:p>
        </w:tc>
      </w:tr>
    </w:tbl>
    <w:p w:rsidR="000162EB" w:rsidRDefault="000162EB" w:rsidP="000162EB"/>
    <w:tbl>
      <w:tblPr>
        <w:tblW w:w="9252" w:type="dxa"/>
        <w:tblLayout w:type="fixed"/>
        <w:tblCellMar>
          <w:left w:w="72" w:type="dxa"/>
          <w:right w:w="72" w:type="dxa"/>
        </w:tblCellMar>
        <w:tblLook w:val="0000" w:firstRow="0" w:lastRow="0" w:firstColumn="0" w:lastColumn="0" w:noHBand="0" w:noVBand="0"/>
      </w:tblPr>
      <w:tblGrid>
        <w:gridCol w:w="692"/>
        <w:gridCol w:w="5120"/>
        <w:gridCol w:w="3440"/>
      </w:tblGrid>
      <w:tr w:rsidR="000162EB" w:rsidTr="000162EB">
        <w:tc>
          <w:tcPr>
            <w:tcW w:w="692" w:type="dxa"/>
            <w:tcBorders>
              <w:top w:val="double" w:sz="6" w:space="0" w:color="auto"/>
              <w:left w:val="double" w:sz="6" w:space="0" w:color="auto"/>
              <w:bottom w:val="single" w:sz="6" w:space="0" w:color="auto"/>
              <w:right w:val="single" w:sz="6" w:space="0" w:color="auto"/>
            </w:tcBorders>
          </w:tcPr>
          <w:p w:rsidR="000162EB" w:rsidRDefault="000162EB" w:rsidP="00753B74">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0162EB" w:rsidRDefault="000162EB" w:rsidP="00753B74">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0162EB" w:rsidRDefault="000162EB" w:rsidP="00753B74">
            <w:pPr>
              <w:jc w:val="center"/>
            </w:pPr>
            <w:r>
              <w:t>Отчетный период, за который (по результатам которого) выплачиваются (выплачивались) объявленные дивиденды - 2023г., 9 мес.</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3</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Категория (тип) акций: обыкновенные</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 Сведения об объявленных дивидендах</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0,037197</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F76AC3">
            <w:r>
              <w:t>50 031</w:t>
            </w:r>
            <w:r w:rsidR="00F76AC3">
              <w:t> </w:t>
            </w:r>
            <w:r>
              <w:t>367</w:t>
            </w:r>
            <w:r w:rsidR="00F76AC3">
              <w:t>.</w:t>
            </w:r>
            <w:r>
              <w:t>7</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Общество не составляет и не раскрывает финансовую отчетность за 9 месяцев 2023 г., поэтому данные привести невозможно</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34,9</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Нераспределенная чистая прибыль Общества, полученная за 2021 финансовый год</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w:t>
            </w:r>
            <w:r>
              <w:lastRenderedPageBreak/>
              <w:t>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lastRenderedPageBreak/>
              <w:t xml:space="preserve">Внеочередное Общее собрание акционеров, дата принятия решения 23.11.2023 г., Протокол №29 от </w:t>
            </w:r>
            <w:r>
              <w:lastRenderedPageBreak/>
              <w:t>24.11.2023 г.</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lastRenderedPageBreak/>
              <w:t>10</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05.12.2023</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Выплату дивидендов номинальным держателям и являющимся профессиональными участниками рынка ценных бумаг доверительным управляющим, зарегистрированным в реестре акционеров, - не позднее 19 декабря 2023 года, другим зарегистрированным в реестре акционеров держателям акций - не позднее 17 января 2024 года.</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12</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Доля объявленных дивидендов в чистой прибыли отчетного периода в размере 34,9%, за который (по результатам которого) выплачиваются (выплачивались) объявленные дивиденды, рассчитана по данным бухгалтерской отчетности за 9 месяцев 2023 г., однако такой расчет является формально некорректным, поскольку источник выплаты дивидендов – нераспределенная чистая прибыль прошлых лет.</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II. Сведения о выплаченных дивидендах</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49 830 971,54 руб.</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99.6</w:t>
            </w:r>
          </w:p>
        </w:tc>
      </w:tr>
      <w:tr w:rsidR="000162EB" w:rsidTr="000162EB">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В соответствии с пунктом 16 статьи 8.2 Федерального закона от 22.04.1996 № 39 "О рынке ценных бумаг" дивиденды не выплачены лицам, по которым у эмитента и регистратора отсутствуют точные и необходимые для выплаты дивидендов адресные данные или банковские реквизиты. По мере поступления от акционеров необходимых сведений эмитент исполнит обязательства по выплате дивидендов в полном объеме.</w:t>
            </w:r>
          </w:p>
        </w:tc>
      </w:tr>
      <w:tr w:rsidR="000162EB" w:rsidTr="000162EB">
        <w:tc>
          <w:tcPr>
            <w:tcW w:w="692" w:type="dxa"/>
            <w:tcBorders>
              <w:top w:val="single" w:sz="6" w:space="0" w:color="auto"/>
              <w:left w:val="double" w:sz="6" w:space="0" w:color="auto"/>
              <w:bottom w:val="double" w:sz="6" w:space="0" w:color="auto"/>
              <w:right w:val="single" w:sz="6" w:space="0" w:color="auto"/>
            </w:tcBorders>
          </w:tcPr>
          <w:p w:rsidR="000162EB" w:rsidRDefault="000162EB" w:rsidP="00753B74">
            <w:pPr>
              <w:jc w:val="center"/>
            </w:pPr>
            <w:r>
              <w:t>17</w:t>
            </w:r>
          </w:p>
        </w:tc>
        <w:tc>
          <w:tcPr>
            <w:tcW w:w="5120" w:type="dxa"/>
            <w:tcBorders>
              <w:top w:val="single" w:sz="6" w:space="0" w:color="auto"/>
              <w:left w:val="single" w:sz="6" w:space="0" w:color="auto"/>
              <w:bottom w:val="double" w:sz="6" w:space="0" w:color="auto"/>
              <w:right w:val="single" w:sz="6" w:space="0" w:color="auto"/>
            </w:tcBorders>
          </w:tcPr>
          <w:p w:rsidR="000162EB" w:rsidRDefault="000162EB" w:rsidP="00753B74">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0162EB" w:rsidRDefault="000162EB" w:rsidP="00753B74">
            <w:r>
              <w:t>Отсутствуют.</w:t>
            </w:r>
          </w:p>
        </w:tc>
      </w:tr>
    </w:tbl>
    <w:p w:rsidR="000162EB" w:rsidRDefault="000162EB" w:rsidP="000162EB">
      <w:pPr>
        <w:pStyle w:val="ThinDelim"/>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0162EB" w:rsidTr="00753B74">
        <w:tc>
          <w:tcPr>
            <w:tcW w:w="692" w:type="dxa"/>
            <w:tcBorders>
              <w:top w:val="double" w:sz="6" w:space="0" w:color="auto"/>
              <w:left w:val="double" w:sz="6" w:space="0" w:color="auto"/>
              <w:bottom w:val="single" w:sz="6" w:space="0" w:color="auto"/>
              <w:right w:val="single" w:sz="6" w:space="0" w:color="auto"/>
            </w:tcBorders>
          </w:tcPr>
          <w:p w:rsidR="000162EB" w:rsidRDefault="000162EB" w:rsidP="00753B74">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0162EB" w:rsidRDefault="000162EB" w:rsidP="00753B74">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0162EB" w:rsidRDefault="000162EB" w:rsidP="00753B74">
            <w:pPr>
              <w:jc w:val="center"/>
            </w:pPr>
            <w:r>
              <w:t>Отчетный период, за который (по результатам которого) выплачиваются (выплачивались) объявленные дивиденды - 2024г., 9 мес.</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3</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Категория (тип) акций: обыкновенные</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 Сведения об объявленных дивидендах</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Размер объявленных дивидендов в расчете на одну </w:t>
            </w:r>
            <w:r>
              <w:lastRenderedPageBreak/>
              <w:t>акцию,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lastRenderedPageBreak/>
              <w:t>0,091818</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123 498 672,46</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Общество не составляет и не раскрывает финансовую отчетность за 9 месяцев 2024 г., поэтому данные привести невозможно</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57,23</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нераспределенная чистая прибыль прошлых лет</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0162EB">
            <w:r>
              <w:t>Общее собрание акционеров, дата принятия решения - 29 ноября 2024 года, Протокол № 31 от 29 ноября 2024 года.</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10</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10.12.2024</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Срок выплаты дивидендов номинальным держателям и являющимися профессиональными участниками рынка ценных бумаг доверительными управляющими, зарегистрированными в реестре акционеров - не позднее 24 декабря 2024 года. Срок выплаты дивидендов другим зарегистрированным в реестре акционеров держателям акций - не позднее 23 января 2025 года.</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12</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Доля объявленных дивидендов в чистой прибыли отчетного периода в размере 57,23%, за который (по результатам которого) выплачиваются (выплачивались) объявленные дивиденды, рассчитана по данным бухгалтерской отчетности за 9 месяцев 2024 г., однако такой расчет является формально некорректным, поскольку источник выплаты дивидендов – нераспределенная чистая прибыль прошлых лет.</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0162EB" w:rsidRDefault="000162EB" w:rsidP="00753B74">
            <w:pPr>
              <w:jc w:val="center"/>
            </w:pPr>
            <w:r>
              <w:t>II. Сведения о выплаченных дивидендах</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14</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121 831 199,25</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98.65</w:t>
            </w:r>
          </w:p>
        </w:tc>
      </w:tr>
      <w:tr w:rsidR="000162EB" w:rsidTr="00753B74">
        <w:tc>
          <w:tcPr>
            <w:tcW w:w="692" w:type="dxa"/>
            <w:tcBorders>
              <w:top w:val="single" w:sz="6" w:space="0" w:color="auto"/>
              <w:left w:val="double" w:sz="6" w:space="0" w:color="auto"/>
              <w:bottom w:val="single" w:sz="6" w:space="0" w:color="auto"/>
              <w:right w:val="single" w:sz="6" w:space="0" w:color="auto"/>
            </w:tcBorders>
          </w:tcPr>
          <w:p w:rsidR="000162EB" w:rsidRDefault="000162EB" w:rsidP="00753B74">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0162EB" w:rsidRDefault="000162EB" w:rsidP="00753B74">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0162EB" w:rsidRDefault="000162EB" w:rsidP="00753B74">
            <w:r>
              <w:t xml:space="preserve">В соответствии с пунктом 16 статьи 8.2 Федерального закона от 22.04.1996 № 39 "О рынке ценных бумаг" дивиденды не выплачены лицам, по которым у эмитента и </w:t>
            </w:r>
            <w:r>
              <w:lastRenderedPageBreak/>
              <w:t>регистратора отсутствуют точные и необходимые для выплаты дивидендов адресные данные или банковские реквизиты. По мере поступления от акционеров необходимых сведений эмитент исполнит обязательства по выплате дивидендов в полном объеме.</w:t>
            </w:r>
          </w:p>
        </w:tc>
      </w:tr>
      <w:tr w:rsidR="000162EB" w:rsidTr="00753B74">
        <w:tc>
          <w:tcPr>
            <w:tcW w:w="692" w:type="dxa"/>
            <w:tcBorders>
              <w:top w:val="single" w:sz="6" w:space="0" w:color="auto"/>
              <w:left w:val="double" w:sz="6" w:space="0" w:color="auto"/>
              <w:bottom w:val="double" w:sz="6" w:space="0" w:color="auto"/>
              <w:right w:val="single" w:sz="6" w:space="0" w:color="auto"/>
            </w:tcBorders>
          </w:tcPr>
          <w:p w:rsidR="000162EB" w:rsidRDefault="000162EB" w:rsidP="00753B74">
            <w:pPr>
              <w:jc w:val="center"/>
            </w:pPr>
            <w:r>
              <w:lastRenderedPageBreak/>
              <w:t>17</w:t>
            </w:r>
          </w:p>
        </w:tc>
        <w:tc>
          <w:tcPr>
            <w:tcW w:w="5120" w:type="dxa"/>
            <w:tcBorders>
              <w:top w:val="single" w:sz="6" w:space="0" w:color="auto"/>
              <w:left w:val="single" w:sz="6" w:space="0" w:color="auto"/>
              <w:bottom w:val="double" w:sz="6" w:space="0" w:color="auto"/>
              <w:right w:val="single" w:sz="6" w:space="0" w:color="auto"/>
            </w:tcBorders>
          </w:tcPr>
          <w:p w:rsidR="000162EB" w:rsidRDefault="000162EB" w:rsidP="00753B74">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0162EB" w:rsidRDefault="000162EB" w:rsidP="00753B74">
            <w:r>
              <w:t xml:space="preserve">Ранее в существенном факте «Выплаченные доходы или иные выплаты, причитающиеся владельцам ценных бумаг эмитента» </w:t>
            </w:r>
            <w:proofErr w:type="gramStart"/>
            <w:r>
              <w:t>эмитентом</w:t>
            </w:r>
            <w:proofErr w:type="gramEnd"/>
            <w:r>
              <w:t xml:space="preserve"> был указан общий размер выплаченных доходов по ценным бумагам эмитента, а также иных выплат, причитающихся владельцам ценных бумаг эмитента: 122 987 136,09 или 99,59%.  На момент раскрытия Эмитентом настоящего отчета сумма выплаченных дивидендов изменилась по следующим причинам: 1. Эмитенту осуществлен возврат невыплаченных (невостребованных) дивидендов. 2. Эмитентом произведены повторные выплаты </w:t>
            </w:r>
            <w:proofErr w:type="spellStart"/>
            <w:r>
              <w:t>дивендов</w:t>
            </w:r>
            <w:proofErr w:type="spellEnd"/>
            <w:r>
              <w:t xml:space="preserve"> по требованиям акционеров, не получивших </w:t>
            </w:r>
            <w:proofErr w:type="spellStart"/>
            <w:r>
              <w:t>дивединды</w:t>
            </w:r>
            <w:proofErr w:type="spellEnd"/>
            <w:r>
              <w:t xml:space="preserve"> в установленный срок выплаты, по не зависящим от Эмитента причинам.</w:t>
            </w:r>
          </w:p>
        </w:tc>
      </w:tr>
    </w:tbl>
    <w:p w:rsidR="000162EB" w:rsidRDefault="000162EB" w:rsidP="000162EB">
      <w:pPr>
        <w:jc w:val="both"/>
      </w:pPr>
    </w:p>
    <w:p w:rsidR="000162EB" w:rsidRDefault="000162EB" w:rsidP="000162EB">
      <w:pPr>
        <w:ind w:left="200"/>
        <w:jc w:val="both"/>
      </w:pPr>
      <w:r>
        <w:rPr>
          <w:rStyle w:val="Subst"/>
        </w:rPr>
        <w:t>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произошли изменения</w:t>
      </w:r>
    </w:p>
    <w:p w:rsidR="000162EB" w:rsidRDefault="000162EB" w:rsidP="000162EB">
      <w:pPr>
        <w:ind w:left="200"/>
        <w:jc w:val="both"/>
      </w:pPr>
      <w:r>
        <w:t>Описание изменений:</w:t>
      </w:r>
      <w:r>
        <w:br/>
      </w:r>
      <w:r>
        <w:rPr>
          <w:rStyle w:val="Subst"/>
        </w:rPr>
        <w:t>Ранее в существенных фактах "О начисленных и (или) выплаченных доходах по эмиссионным ценным бумагам  эмитента" и "Выплаченные доходы по эмиссионным ценным бумагам эмитента" эмитентом был указан иной общий размер дивидендов, выплаченных по акциям эмитента определенной категории (типа). По состоянию на конец отчетного периода сумма выплаченных дивидендов изменилась по следующим причинам: 1. Часть дивидендов вернулась эмитенту с почты, акционеры не смогли их получить, поскольку в реестре акционеров были указаны неверные почтовые адреса. 2. В течении отчетного периода было произведено несколько выплат акционерам по их обращениям на обновленные банковские реквизиты, которые в срок не получили дивиденды по причине неверных, неполных, либо устаревших данных о реквизитах банковского счета, которые были указаны в анкете зарегистрированного лица на момент выплаты дивидендов.</w:t>
      </w:r>
      <w:r>
        <w:rPr>
          <w:rStyle w:val="Subst"/>
        </w:rPr>
        <w:br/>
        <w:t>Указанная информация с точной суммой выплаченных дивидендов отражена по каждой выплате по итогам каждого периода, за который эмитентом были выплачены дивиденды.</w:t>
      </w:r>
    </w:p>
    <w:p w:rsidR="0076611B" w:rsidRDefault="0076611B" w:rsidP="00E223A1">
      <w:pPr>
        <w:pStyle w:val="2"/>
        <w:jc w:val="both"/>
      </w:pPr>
      <w:bookmarkStart w:id="60" w:name="_Toc196398501"/>
      <w:r>
        <w:t>4.5. Сведения об организациях, осуществляющих учет прав на эмиссионные ценные бумаги эмитента</w:t>
      </w:r>
      <w:bookmarkEnd w:id="60"/>
    </w:p>
    <w:p w:rsidR="005F7BC6" w:rsidRDefault="005F7BC6" w:rsidP="005F7BC6">
      <w:pPr>
        <w:pStyle w:val="2"/>
      </w:pPr>
      <w:bookmarkStart w:id="61" w:name="_Toc196398502"/>
      <w:r>
        <w:t>4.5.1. Сведения о регистраторе, осуществляющем ведение реестра владельцев ценных бумаг эмитента</w:t>
      </w:r>
      <w:bookmarkEnd w:id="61"/>
    </w:p>
    <w:p w:rsidR="005F7BC6" w:rsidRDefault="005F7BC6" w:rsidP="005F7BC6">
      <w:pPr>
        <w:ind w:left="200"/>
      </w:pPr>
      <w:r>
        <w:t>Полное фирменное наименование:</w:t>
      </w:r>
      <w:r>
        <w:rPr>
          <w:rStyle w:val="Subst"/>
        </w:rPr>
        <w:t xml:space="preserve"> Акционерное общество "Независимая регистраторская компания Р.О.С.Т."</w:t>
      </w:r>
    </w:p>
    <w:p w:rsidR="005F7BC6" w:rsidRDefault="005F7BC6" w:rsidP="005F7BC6">
      <w:pPr>
        <w:ind w:left="200"/>
      </w:pPr>
      <w:r>
        <w:t>Сокращенное фирменное наименование:</w:t>
      </w:r>
      <w:r>
        <w:rPr>
          <w:rStyle w:val="Subst"/>
        </w:rPr>
        <w:t xml:space="preserve"> АО «НРК - Р.О.С.Т.»</w:t>
      </w:r>
    </w:p>
    <w:p w:rsidR="005F7BC6" w:rsidRDefault="005F7BC6" w:rsidP="005F7BC6">
      <w:pPr>
        <w:ind w:left="200"/>
      </w:pPr>
      <w:r>
        <w:t>Место нахождения:</w:t>
      </w:r>
      <w:r>
        <w:rPr>
          <w:rStyle w:val="Subst"/>
        </w:rPr>
        <w:t xml:space="preserve"> 107076, г. Москва, ул. Стромынка, д. 18, корп. 5Б, пом. IX</w:t>
      </w:r>
    </w:p>
    <w:p w:rsidR="005F7BC6" w:rsidRDefault="005F7BC6" w:rsidP="005F7BC6">
      <w:pPr>
        <w:ind w:left="200"/>
      </w:pPr>
      <w:r>
        <w:t>ИНН:</w:t>
      </w:r>
      <w:r>
        <w:rPr>
          <w:rStyle w:val="Subst"/>
        </w:rPr>
        <w:t xml:space="preserve"> 7726030449</w:t>
      </w:r>
    </w:p>
    <w:p w:rsidR="005F7BC6" w:rsidRDefault="005F7BC6" w:rsidP="005F7BC6">
      <w:pPr>
        <w:ind w:left="200"/>
      </w:pPr>
      <w:r>
        <w:lastRenderedPageBreak/>
        <w:t>ОГРН:</w:t>
      </w:r>
      <w:r>
        <w:rPr>
          <w:rStyle w:val="Subst"/>
        </w:rPr>
        <w:t xml:space="preserve"> 1027739216757</w:t>
      </w:r>
    </w:p>
    <w:p w:rsidR="005F7BC6" w:rsidRDefault="005F7BC6" w:rsidP="005F7BC6">
      <w:pPr>
        <w:pStyle w:val="SubHeading"/>
        <w:ind w:left="200"/>
      </w:pPr>
      <w:r>
        <w:t>Данные о лицензии на осуществление деятельности по ведению реестра владельцев ценных бумаг</w:t>
      </w:r>
    </w:p>
    <w:p w:rsidR="005F7BC6" w:rsidRDefault="005F7BC6" w:rsidP="005F7BC6">
      <w:pPr>
        <w:ind w:left="400"/>
      </w:pPr>
      <w:r>
        <w:t>Номер:</w:t>
      </w:r>
      <w:r>
        <w:rPr>
          <w:rStyle w:val="Subst"/>
        </w:rPr>
        <w:t xml:space="preserve"> 045-13976-000001</w:t>
      </w:r>
    </w:p>
    <w:p w:rsidR="005F7BC6" w:rsidRDefault="005F7BC6" w:rsidP="005F7BC6">
      <w:pPr>
        <w:ind w:left="400"/>
      </w:pPr>
      <w:r>
        <w:t>Дата выдачи:</w:t>
      </w:r>
      <w:r>
        <w:rPr>
          <w:rStyle w:val="Subst"/>
        </w:rPr>
        <w:t xml:space="preserve"> 03.12.2002</w:t>
      </w:r>
    </w:p>
    <w:p w:rsidR="005F7BC6" w:rsidRDefault="005F7BC6" w:rsidP="005F7BC6">
      <w:pPr>
        <w:ind w:left="400"/>
      </w:pPr>
      <w:r>
        <w:t>Срок действия:</w:t>
      </w:r>
    </w:p>
    <w:p w:rsidR="005F7BC6" w:rsidRDefault="005F7BC6" w:rsidP="005F7BC6">
      <w:pPr>
        <w:ind w:left="600"/>
      </w:pPr>
      <w:r>
        <w:rPr>
          <w:rStyle w:val="Subst"/>
        </w:rPr>
        <w:t>Бессрочная</w:t>
      </w:r>
    </w:p>
    <w:p w:rsidR="005F7BC6" w:rsidRDefault="005F7BC6" w:rsidP="005F7BC6">
      <w:pPr>
        <w:ind w:left="400"/>
      </w:pPr>
      <w:r>
        <w:t>Наименование органа, выдавшего лицензию:</w:t>
      </w:r>
      <w:r>
        <w:rPr>
          <w:rStyle w:val="Subst"/>
        </w:rPr>
        <w:t xml:space="preserve"> ФСФР России</w:t>
      </w:r>
    </w:p>
    <w:p w:rsidR="005F7BC6" w:rsidRDefault="005F7BC6" w:rsidP="005F7BC6">
      <w:pPr>
        <w:ind w:left="200"/>
      </w:pPr>
      <w:r>
        <w:t>Дата, с которой регистратор осуществляет ведение реестра владельцев ценных бумаг эмитента:</w:t>
      </w:r>
      <w:r>
        <w:rPr>
          <w:rStyle w:val="Subst"/>
        </w:rPr>
        <w:t xml:space="preserve"> 15.01.2011</w:t>
      </w:r>
    </w:p>
    <w:p w:rsidR="005F7BC6" w:rsidRDefault="005F7BC6" w:rsidP="005F7BC6">
      <w:pPr>
        <w:ind w:left="200"/>
      </w:pPr>
      <w:r>
        <w:t>Иные сведения о ведении реестра владельцев ценных бумаг эмитента, указываемые эмитентом по собственному усмотрению:</w:t>
      </w:r>
      <w:r>
        <w:rPr>
          <w:rStyle w:val="Subst"/>
        </w:rPr>
        <w:t xml:space="preserve"> отсутствуют</w:t>
      </w:r>
    </w:p>
    <w:p w:rsidR="005F7BC6" w:rsidRDefault="005F7BC6" w:rsidP="005F7BC6">
      <w:pPr>
        <w:pStyle w:val="2"/>
      </w:pPr>
      <w:bookmarkStart w:id="62" w:name="_Toc196398503"/>
      <w:r>
        <w:t>4.5.2. Сведения о депозитарии, осуществляющем централизованный учет прав на ценные бумаги эмитента</w:t>
      </w:r>
      <w:bookmarkEnd w:id="62"/>
    </w:p>
    <w:p w:rsidR="005F7BC6" w:rsidRDefault="005F7BC6" w:rsidP="005F7BC6">
      <w:pPr>
        <w:ind w:left="200"/>
      </w:pPr>
      <w:r>
        <w:rPr>
          <w:rStyle w:val="Subst"/>
        </w:rPr>
        <w:t>В обращении нет ценных бумаг эмитента с централизованным учетом прав</w:t>
      </w:r>
    </w:p>
    <w:p w:rsidR="005F7BC6" w:rsidRDefault="005F7BC6" w:rsidP="005F7BC6">
      <w:pPr>
        <w:ind w:left="200"/>
      </w:pPr>
    </w:p>
    <w:p w:rsidR="005F7BC6" w:rsidRDefault="005F7BC6" w:rsidP="005F7BC6">
      <w:pPr>
        <w:ind w:left="200"/>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CB294C" w:rsidRDefault="00CB294C" w:rsidP="00CB294C">
      <w:pPr>
        <w:pStyle w:val="2"/>
      </w:pPr>
      <w:bookmarkStart w:id="63" w:name="_Toc196398504"/>
      <w:r>
        <w:t>4.6. Информация об аудиторе эмитента</w:t>
      </w:r>
      <w:bookmarkEnd w:id="63"/>
    </w:p>
    <w:p w:rsidR="00CB294C" w:rsidRDefault="00CB294C" w:rsidP="00CB294C">
      <w:pPr>
        <w:ind w:left="200"/>
        <w:jc w:val="both"/>
      </w:pPr>
      <w: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rsidR="00CB294C" w:rsidRDefault="00CB294C" w:rsidP="00CB294C">
      <w:pPr>
        <w:ind w:left="200"/>
        <w:jc w:val="both"/>
      </w:pPr>
      <w:r>
        <w:t>Полное фирменное наименование:</w:t>
      </w:r>
      <w:r>
        <w:rPr>
          <w:rStyle w:val="Subst"/>
          <w:bCs/>
          <w:iCs/>
        </w:rPr>
        <w:t xml:space="preserve"> Общество с ограниченной ответственностью "</w:t>
      </w:r>
      <w:proofErr w:type="spellStart"/>
      <w:r>
        <w:rPr>
          <w:rStyle w:val="Subst"/>
          <w:bCs/>
          <w:iCs/>
        </w:rPr>
        <w:t>Стройаудит</w:t>
      </w:r>
      <w:proofErr w:type="spellEnd"/>
      <w:r>
        <w:rPr>
          <w:rStyle w:val="Subst"/>
          <w:bCs/>
          <w:iCs/>
        </w:rPr>
        <w:t>-экспресс"</w:t>
      </w:r>
    </w:p>
    <w:p w:rsidR="00CB294C" w:rsidRDefault="00CB294C" w:rsidP="00CB294C">
      <w:pPr>
        <w:ind w:left="200"/>
        <w:jc w:val="both"/>
      </w:pPr>
      <w:r>
        <w:t>Сокращенное фирменное наименование:</w:t>
      </w:r>
      <w:r>
        <w:rPr>
          <w:rStyle w:val="Subst"/>
          <w:bCs/>
          <w:iCs/>
        </w:rPr>
        <w:t xml:space="preserve"> ООО «</w:t>
      </w:r>
      <w:proofErr w:type="spellStart"/>
      <w:r>
        <w:rPr>
          <w:rStyle w:val="Subst"/>
          <w:bCs/>
          <w:iCs/>
        </w:rPr>
        <w:t>Стройаудит</w:t>
      </w:r>
      <w:proofErr w:type="spellEnd"/>
      <w:r>
        <w:rPr>
          <w:rStyle w:val="Subst"/>
          <w:bCs/>
          <w:iCs/>
        </w:rPr>
        <w:t>-экспресс»</w:t>
      </w:r>
    </w:p>
    <w:p w:rsidR="00CB294C" w:rsidRDefault="00CB294C" w:rsidP="00CB294C">
      <w:pPr>
        <w:ind w:left="200"/>
        <w:jc w:val="both"/>
      </w:pPr>
      <w:r>
        <w:t>Место нахождения:</w:t>
      </w:r>
      <w:r>
        <w:rPr>
          <w:rStyle w:val="Subst"/>
          <w:bCs/>
          <w:iCs/>
        </w:rPr>
        <w:t xml:space="preserve"> 443079, г. Самара, пр. К. Маркса, д. 175, оф. 5</w:t>
      </w:r>
    </w:p>
    <w:p w:rsidR="00CB294C" w:rsidRDefault="00CB294C" w:rsidP="00CB294C">
      <w:pPr>
        <w:ind w:left="200"/>
        <w:jc w:val="both"/>
      </w:pPr>
      <w:r>
        <w:t>ИНН:</w:t>
      </w:r>
      <w:r>
        <w:rPr>
          <w:rStyle w:val="Subst"/>
          <w:bCs/>
          <w:iCs/>
        </w:rPr>
        <w:t xml:space="preserve"> 6367655436</w:t>
      </w:r>
    </w:p>
    <w:p w:rsidR="00CB294C" w:rsidRDefault="00CB294C" w:rsidP="00CB294C">
      <w:pPr>
        <w:ind w:left="200"/>
        <w:jc w:val="both"/>
      </w:pPr>
      <w:r>
        <w:t>ОГРН:</w:t>
      </w:r>
      <w:r>
        <w:rPr>
          <w:rStyle w:val="Subst"/>
          <w:bCs/>
          <w:iCs/>
        </w:rPr>
        <w:t xml:space="preserve"> 1026303510683</w:t>
      </w:r>
    </w:p>
    <w:p w:rsidR="00CB294C" w:rsidRDefault="00CB294C" w:rsidP="00CB294C">
      <w:pPr>
        <w:pStyle w:val="SubHeading"/>
        <w:ind w:left="200"/>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rsidR="00CB294C" w:rsidRDefault="00CB294C" w:rsidP="00CB294C">
      <w:pPr>
        <w:pStyle w:val="ThinDelim"/>
        <w:jc w:val="both"/>
      </w:pPr>
    </w:p>
    <w:tbl>
      <w:tblPr>
        <w:tblW w:w="8647" w:type="dxa"/>
        <w:tblInd w:w="356" w:type="dxa"/>
        <w:tblLayout w:type="fixed"/>
        <w:tblCellMar>
          <w:left w:w="72" w:type="dxa"/>
          <w:right w:w="72" w:type="dxa"/>
        </w:tblCellMar>
        <w:tblLook w:val="0000" w:firstRow="0" w:lastRow="0" w:firstColumn="0" w:lastColumn="0" w:noHBand="0" w:noVBand="0"/>
      </w:tblPr>
      <w:tblGrid>
        <w:gridCol w:w="4652"/>
        <w:gridCol w:w="3995"/>
      </w:tblGrid>
      <w:tr w:rsidR="00CB294C" w:rsidTr="00124487">
        <w:tc>
          <w:tcPr>
            <w:tcW w:w="4652" w:type="dxa"/>
            <w:tcBorders>
              <w:top w:val="double" w:sz="6" w:space="0" w:color="auto"/>
              <w:left w:val="double" w:sz="6" w:space="0" w:color="auto"/>
              <w:bottom w:val="single" w:sz="6" w:space="0" w:color="auto"/>
              <w:right w:val="single" w:sz="6" w:space="0" w:color="auto"/>
            </w:tcBorders>
          </w:tcPr>
          <w:p w:rsidR="00CB294C" w:rsidRDefault="00CB294C" w:rsidP="00CB294C">
            <w:pPr>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3995" w:type="dxa"/>
            <w:tcBorders>
              <w:top w:val="double" w:sz="6" w:space="0" w:color="auto"/>
              <w:left w:val="single" w:sz="6" w:space="0" w:color="auto"/>
              <w:bottom w:val="single" w:sz="6" w:space="0" w:color="auto"/>
              <w:right w:val="double" w:sz="6" w:space="0" w:color="auto"/>
            </w:tcBorders>
          </w:tcPr>
          <w:p w:rsidR="00CB294C" w:rsidRDefault="00CB294C" w:rsidP="00CB294C">
            <w:pPr>
              <w:jc w:val="both"/>
            </w:pPr>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CB294C" w:rsidTr="00124487">
        <w:tc>
          <w:tcPr>
            <w:tcW w:w="4652" w:type="dxa"/>
            <w:tcBorders>
              <w:top w:val="single" w:sz="6" w:space="0" w:color="auto"/>
              <w:left w:val="double" w:sz="6" w:space="0" w:color="auto"/>
              <w:bottom w:val="single" w:sz="6" w:space="0" w:color="auto"/>
              <w:right w:val="single" w:sz="6" w:space="0" w:color="auto"/>
            </w:tcBorders>
          </w:tcPr>
          <w:p w:rsidR="00CB294C" w:rsidRDefault="00CB294C" w:rsidP="00CB294C">
            <w:pPr>
              <w:jc w:val="both"/>
            </w:pPr>
            <w:r>
              <w:t>2022 год</w:t>
            </w:r>
          </w:p>
        </w:tc>
        <w:tc>
          <w:tcPr>
            <w:tcW w:w="3995" w:type="dxa"/>
            <w:tcBorders>
              <w:top w:val="single" w:sz="6" w:space="0" w:color="auto"/>
              <w:left w:val="single" w:sz="6" w:space="0" w:color="auto"/>
              <w:bottom w:val="single" w:sz="6" w:space="0" w:color="auto"/>
              <w:right w:val="double" w:sz="6" w:space="0" w:color="auto"/>
            </w:tcBorders>
          </w:tcPr>
          <w:p w:rsidR="00CB294C" w:rsidRDefault="00CB294C" w:rsidP="00CB294C">
            <w:pPr>
              <w:jc w:val="both"/>
            </w:pPr>
            <w:r>
              <w:t>годовая бухгалтерская (финансовая) отчетность эмитента за 2022 г.</w:t>
            </w:r>
          </w:p>
        </w:tc>
      </w:tr>
      <w:tr w:rsidR="00CB294C" w:rsidTr="00124487">
        <w:tc>
          <w:tcPr>
            <w:tcW w:w="4652" w:type="dxa"/>
            <w:tcBorders>
              <w:top w:val="single" w:sz="6" w:space="0" w:color="auto"/>
              <w:left w:val="double" w:sz="6" w:space="0" w:color="auto"/>
              <w:bottom w:val="single" w:sz="6" w:space="0" w:color="auto"/>
              <w:right w:val="single" w:sz="6" w:space="0" w:color="auto"/>
            </w:tcBorders>
          </w:tcPr>
          <w:p w:rsidR="00CB294C" w:rsidRDefault="00CB294C" w:rsidP="00CB294C">
            <w:pPr>
              <w:jc w:val="both"/>
            </w:pPr>
            <w:r>
              <w:t>2023 год</w:t>
            </w:r>
          </w:p>
        </w:tc>
        <w:tc>
          <w:tcPr>
            <w:tcW w:w="3995" w:type="dxa"/>
            <w:tcBorders>
              <w:top w:val="single" w:sz="6" w:space="0" w:color="auto"/>
              <w:left w:val="single" w:sz="6" w:space="0" w:color="auto"/>
              <w:bottom w:val="single" w:sz="6" w:space="0" w:color="auto"/>
              <w:right w:val="double" w:sz="6" w:space="0" w:color="auto"/>
            </w:tcBorders>
          </w:tcPr>
          <w:p w:rsidR="00CB294C" w:rsidRDefault="00CB294C" w:rsidP="00CB294C">
            <w:pPr>
              <w:jc w:val="both"/>
            </w:pPr>
            <w:r>
              <w:t>годовая бухгалтерская (финансовая) отчетность эмитента за 2023 г.</w:t>
            </w:r>
          </w:p>
        </w:tc>
      </w:tr>
      <w:tr w:rsidR="00CB294C" w:rsidTr="00124487">
        <w:tc>
          <w:tcPr>
            <w:tcW w:w="4652" w:type="dxa"/>
            <w:tcBorders>
              <w:top w:val="single" w:sz="6" w:space="0" w:color="auto"/>
              <w:left w:val="double" w:sz="6" w:space="0" w:color="auto"/>
              <w:bottom w:val="single" w:sz="6" w:space="0" w:color="auto"/>
              <w:right w:val="single" w:sz="6" w:space="0" w:color="auto"/>
            </w:tcBorders>
          </w:tcPr>
          <w:p w:rsidR="00CB294C" w:rsidRDefault="00CB294C" w:rsidP="00CB294C">
            <w:pPr>
              <w:jc w:val="both"/>
            </w:pPr>
            <w:r>
              <w:t>6 месяцев 2022 года</w:t>
            </w:r>
          </w:p>
        </w:tc>
        <w:tc>
          <w:tcPr>
            <w:tcW w:w="3995" w:type="dxa"/>
            <w:tcBorders>
              <w:top w:val="single" w:sz="6" w:space="0" w:color="auto"/>
              <w:left w:val="single" w:sz="6" w:space="0" w:color="auto"/>
              <w:bottom w:val="single" w:sz="6" w:space="0" w:color="auto"/>
              <w:right w:val="double" w:sz="6" w:space="0" w:color="auto"/>
            </w:tcBorders>
          </w:tcPr>
          <w:p w:rsidR="00CB294C" w:rsidRDefault="00CB294C" w:rsidP="00CB294C">
            <w:pPr>
              <w:jc w:val="both"/>
            </w:pPr>
            <w:r>
              <w:t>отдельная сокращенная промежуточная финансовая отчетность в соответствии с МСФО за 6 месяцев, закончившихся 30 июня 2022 года</w:t>
            </w:r>
          </w:p>
        </w:tc>
      </w:tr>
      <w:tr w:rsidR="00CB294C" w:rsidTr="00124487">
        <w:tc>
          <w:tcPr>
            <w:tcW w:w="4652" w:type="dxa"/>
            <w:tcBorders>
              <w:top w:val="single" w:sz="6" w:space="0" w:color="auto"/>
              <w:left w:val="double" w:sz="6" w:space="0" w:color="auto"/>
              <w:bottom w:val="single" w:sz="6" w:space="0" w:color="auto"/>
              <w:right w:val="single" w:sz="6" w:space="0" w:color="auto"/>
            </w:tcBorders>
          </w:tcPr>
          <w:p w:rsidR="00CB294C" w:rsidRDefault="00CB294C" w:rsidP="00CB294C">
            <w:pPr>
              <w:jc w:val="both"/>
            </w:pPr>
            <w:r>
              <w:t>2022 год</w:t>
            </w:r>
          </w:p>
        </w:tc>
        <w:tc>
          <w:tcPr>
            <w:tcW w:w="3995" w:type="dxa"/>
            <w:tcBorders>
              <w:top w:val="single" w:sz="6" w:space="0" w:color="auto"/>
              <w:left w:val="single" w:sz="6" w:space="0" w:color="auto"/>
              <w:bottom w:val="single" w:sz="6" w:space="0" w:color="auto"/>
              <w:right w:val="double" w:sz="6" w:space="0" w:color="auto"/>
            </w:tcBorders>
          </w:tcPr>
          <w:p w:rsidR="00CB294C" w:rsidRDefault="00CB294C" w:rsidP="00CB294C">
            <w:pPr>
              <w:jc w:val="both"/>
            </w:pPr>
            <w:r>
              <w:t>финансовая отчетность, подготовленная в соответствии с МСФО, за год, закончившийся 31 декабря 2022 года</w:t>
            </w:r>
          </w:p>
        </w:tc>
      </w:tr>
      <w:tr w:rsidR="00CB294C" w:rsidTr="00124487">
        <w:tc>
          <w:tcPr>
            <w:tcW w:w="4652" w:type="dxa"/>
            <w:tcBorders>
              <w:top w:val="single" w:sz="6" w:space="0" w:color="auto"/>
              <w:left w:val="double" w:sz="6" w:space="0" w:color="auto"/>
              <w:bottom w:val="single" w:sz="6" w:space="0" w:color="auto"/>
              <w:right w:val="single" w:sz="6" w:space="0" w:color="auto"/>
            </w:tcBorders>
          </w:tcPr>
          <w:p w:rsidR="00CB294C" w:rsidRDefault="00CB294C" w:rsidP="00CB294C">
            <w:pPr>
              <w:jc w:val="both"/>
            </w:pPr>
            <w:r>
              <w:t>6 месяцев 2023 года</w:t>
            </w:r>
          </w:p>
        </w:tc>
        <w:tc>
          <w:tcPr>
            <w:tcW w:w="3995" w:type="dxa"/>
            <w:tcBorders>
              <w:top w:val="single" w:sz="6" w:space="0" w:color="auto"/>
              <w:left w:val="single" w:sz="6" w:space="0" w:color="auto"/>
              <w:bottom w:val="single" w:sz="6" w:space="0" w:color="auto"/>
              <w:right w:val="double" w:sz="6" w:space="0" w:color="auto"/>
            </w:tcBorders>
          </w:tcPr>
          <w:p w:rsidR="00CB294C" w:rsidRDefault="00CB294C" w:rsidP="00CB294C">
            <w:pPr>
              <w:jc w:val="both"/>
            </w:pPr>
            <w:r>
              <w:t xml:space="preserve">отдельная сокращенная промежуточная финансовая отчетность в соответствии с МСФО за 6 месяцев, закончившихся 30 июня </w:t>
            </w:r>
            <w:r>
              <w:lastRenderedPageBreak/>
              <w:t>2023 года</w:t>
            </w:r>
          </w:p>
        </w:tc>
      </w:tr>
      <w:tr w:rsidR="00CB294C" w:rsidTr="00124487">
        <w:tc>
          <w:tcPr>
            <w:tcW w:w="4652" w:type="dxa"/>
            <w:tcBorders>
              <w:top w:val="single" w:sz="6" w:space="0" w:color="auto"/>
              <w:left w:val="double" w:sz="6" w:space="0" w:color="auto"/>
              <w:bottom w:val="double" w:sz="6" w:space="0" w:color="auto"/>
              <w:right w:val="single" w:sz="6" w:space="0" w:color="auto"/>
            </w:tcBorders>
          </w:tcPr>
          <w:p w:rsidR="00CB294C" w:rsidRDefault="00CB294C" w:rsidP="00CB294C">
            <w:pPr>
              <w:jc w:val="both"/>
            </w:pPr>
            <w:r>
              <w:lastRenderedPageBreak/>
              <w:t>2023 год</w:t>
            </w:r>
          </w:p>
        </w:tc>
        <w:tc>
          <w:tcPr>
            <w:tcW w:w="3995" w:type="dxa"/>
            <w:tcBorders>
              <w:top w:val="single" w:sz="6" w:space="0" w:color="auto"/>
              <w:left w:val="single" w:sz="6" w:space="0" w:color="auto"/>
              <w:bottom w:val="double" w:sz="6" w:space="0" w:color="auto"/>
              <w:right w:val="double" w:sz="6" w:space="0" w:color="auto"/>
            </w:tcBorders>
          </w:tcPr>
          <w:p w:rsidR="00CB294C" w:rsidRDefault="00CB294C" w:rsidP="00CB294C">
            <w:pPr>
              <w:jc w:val="both"/>
            </w:pPr>
            <w:r>
              <w:t>финансовая отчетность, подготовленная в соответствии с МСФО, за год, закончившийся 31 декабря 2023 года</w:t>
            </w:r>
          </w:p>
        </w:tc>
      </w:tr>
    </w:tbl>
    <w:p w:rsidR="00CB294C" w:rsidRDefault="00CB294C" w:rsidP="00CB294C">
      <w:pPr>
        <w:jc w:val="both"/>
      </w:pPr>
    </w:p>
    <w:p w:rsidR="00CB294C" w:rsidRDefault="00CB294C" w:rsidP="00CB294C">
      <w:pPr>
        <w:ind w:left="200"/>
        <w:jc w:val="both"/>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r>
        <w:rPr>
          <w:rStyle w:val="Subst"/>
          <w:bCs/>
          <w:iCs/>
        </w:rPr>
        <w:t>В 2022 году были оказаны следующие сопутствующие аудиту и прочие связанные с аудиторской деятельностью услуги:</w:t>
      </w:r>
      <w:r>
        <w:rPr>
          <w:rStyle w:val="Subst"/>
          <w:bCs/>
          <w:iCs/>
        </w:rPr>
        <w:br/>
        <w:t>В течение 2022 г. аудитором была проведена обзорная проверка сокращенной промежуточной финансовой отчетности, подготовленной в соответствии с МСФО за 6 месяцев, закончившихся 30 июня 2022 года.</w:t>
      </w:r>
      <w:r>
        <w:rPr>
          <w:rStyle w:val="Subst"/>
          <w:bCs/>
          <w:iCs/>
        </w:rPr>
        <w:br/>
        <w:t>В 2023 году были оказаны следующие сопутствующие аудиту и прочие связанные с аудиторской деятельностью услуги:</w:t>
      </w:r>
      <w:r>
        <w:rPr>
          <w:rStyle w:val="Subst"/>
          <w:bCs/>
          <w:iCs/>
        </w:rPr>
        <w:br/>
        <w:t>В течение 2023 г. аудитором была проведена обзорная проверка сокращенной промежуточной финансовой отчетности, подготовленной в соответствии с МСФО за 6 месяцев, закончившихся 30 июня 2023 года.</w:t>
      </w:r>
    </w:p>
    <w:p w:rsidR="00CB294C" w:rsidRDefault="00CB294C" w:rsidP="00CB294C">
      <w:pPr>
        <w:pStyle w:val="SubHeading"/>
        <w:ind w:left="200"/>
        <w:jc w:val="both"/>
      </w:pPr>
      <w: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CB294C" w:rsidRDefault="00CB294C" w:rsidP="00124487">
      <w:pPr>
        <w:pStyle w:val="SubHeading"/>
        <w:ind w:left="200"/>
        <w:jc w:val="both"/>
      </w:pPr>
      <w:r w:rsidRPr="00124487">
        <w:rPr>
          <w:b/>
          <w:i/>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rsidR="00CB294C" w:rsidRPr="00124487" w:rsidRDefault="00CB294C" w:rsidP="00124487">
      <w:pPr>
        <w:pStyle w:val="SubHeading"/>
        <w:ind w:left="200"/>
        <w:jc w:val="both"/>
        <w:rPr>
          <w:b/>
          <w:i/>
        </w:rPr>
      </w:pPr>
      <w:r w:rsidRPr="00124487">
        <w:rPr>
          <w:b/>
          <w:i/>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Pr="00124487">
        <w:rPr>
          <w:b/>
          <w:i/>
        </w:rPr>
        <w:br/>
      </w:r>
      <w:r w:rsidRPr="00124487">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rsidR="00CB294C" w:rsidRPr="00124487" w:rsidRDefault="00CB294C" w:rsidP="00124487">
      <w:pPr>
        <w:pStyle w:val="SubHeading"/>
        <w:ind w:left="200"/>
        <w:jc w:val="both"/>
        <w:rPr>
          <w:b/>
          <w:i/>
        </w:rPr>
      </w:pPr>
      <w:r w:rsidRPr="00124487">
        <w:rPr>
          <w:b/>
          <w:i/>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124487">
        <w:rPr>
          <w:b/>
          <w:i/>
        </w:rPr>
        <w:br/>
      </w:r>
      <w:r w:rsidRPr="00124487">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CB294C" w:rsidRPr="00124487" w:rsidRDefault="00CB294C" w:rsidP="00124487">
      <w:pPr>
        <w:pStyle w:val="SubHeading"/>
        <w:ind w:left="200"/>
        <w:jc w:val="both"/>
        <w:rPr>
          <w:b/>
          <w:i/>
        </w:rPr>
      </w:pPr>
      <w:r w:rsidRPr="00124487">
        <w:rPr>
          <w:b/>
          <w:i/>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124487">
        <w:rPr>
          <w:b/>
          <w:i/>
        </w:rPr>
        <w:br/>
      </w:r>
      <w:r w:rsidRPr="00124487">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CB294C" w:rsidRPr="00124487" w:rsidRDefault="00CB294C" w:rsidP="00124487">
      <w:pPr>
        <w:pStyle w:val="SubHeading"/>
        <w:ind w:left="200"/>
        <w:jc w:val="both"/>
        <w:rPr>
          <w:b/>
          <w:i/>
        </w:rPr>
      </w:pPr>
      <w:r w:rsidRPr="00124487">
        <w:rPr>
          <w:b/>
          <w:i/>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Pr="00124487">
        <w:rPr>
          <w:b/>
          <w:i/>
        </w:rPr>
        <w:br/>
      </w:r>
      <w:r w:rsidRPr="00124487">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124487" w:rsidRDefault="00CB294C" w:rsidP="00124487">
      <w:pPr>
        <w:pStyle w:val="SubHeading"/>
        <w:spacing w:after="0"/>
        <w:ind w:left="200"/>
        <w:jc w:val="both"/>
      </w:pPr>
      <w:r w:rsidRPr="00124487">
        <w:rPr>
          <w:b/>
          <w:i/>
        </w:rPr>
        <w:lastRenderedPageBreak/>
        <w:t>Иные факторы, которые могут повлиять на независимость аудитора от эмитента:</w:t>
      </w:r>
      <w:r w:rsidRPr="00124487">
        <w:rPr>
          <w:b/>
          <w:i/>
        </w:rPr>
        <w:br/>
      </w:r>
      <w:r w:rsidRPr="00124487">
        <w:t>Иных факторов, которые могут повлиять на независимость аудитора от эмитента, нет</w:t>
      </w:r>
    </w:p>
    <w:p w:rsidR="00124487" w:rsidRDefault="00124487" w:rsidP="00124487">
      <w:pPr>
        <w:spacing w:before="0"/>
        <w:ind w:left="200"/>
        <w:jc w:val="both"/>
      </w:pPr>
    </w:p>
    <w:p w:rsidR="00CB294C" w:rsidRDefault="00CB294C" w:rsidP="00124487">
      <w:pPr>
        <w:spacing w:before="0"/>
        <w:ind w:left="200"/>
        <w:jc w:val="both"/>
      </w:pPr>
      <w: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br/>
      </w:r>
      <w:r>
        <w:rPr>
          <w:rStyle w:val="Subst"/>
          <w:bCs/>
          <w:iCs/>
        </w:rPr>
        <w:t>Фактический размер вознаграждения, выплаченного эмитентом аудитору в течение 2024 года:</w:t>
      </w:r>
      <w:r>
        <w:rPr>
          <w:rStyle w:val="Subst"/>
          <w:bCs/>
          <w:iCs/>
        </w:rPr>
        <w:br/>
        <w:t>Размер вознаграждения, выплаченного аудитору ООО «</w:t>
      </w:r>
      <w:proofErr w:type="spellStart"/>
      <w:r>
        <w:rPr>
          <w:rStyle w:val="Subst"/>
          <w:bCs/>
          <w:iCs/>
        </w:rPr>
        <w:t>Стройаудит</w:t>
      </w:r>
      <w:proofErr w:type="spellEnd"/>
      <w:r>
        <w:rPr>
          <w:rStyle w:val="Subst"/>
          <w:bCs/>
          <w:iCs/>
        </w:rPr>
        <w:t>-экспресс» в 2024 г. за 2023 г., в котором ООО «</w:t>
      </w:r>
      <w:proofErr w:type="spellStart"/>
      <w:r>
        <w:rPr>
          <w:rStyle w:val="Subst"/>
          <w:bCs/>
          <w:iCs/>
        </w:rPr>
        <w:t>Стройаудит</w:t>
      </w:r>
      <w:proofErr w:type="spellEnd"/>
      <w:r>
        <w:rPr>
          <w:rStyle w:val="Subst"/>
          <w:bCs/>
          <w:iCs/>
        </w:rPr>
        <w:t>-экспресс» проводилась независимая проверка годовой бухгалтерской (финансовой) отчетности за 2023 год, составляет 600 000 рублей (НДС не облагается).</w:t>
      </w:r>
      <w:r>
        <w:rPr>
          <w:rStyle w:val="Subst"/>
          <w:bCs/>
          <w:iCs/>
        </w:rPr>
        <w:br/>
        <w:t>Размер вознаграждения, выплаченного аудитору ООО «</w:t>
      </w:r>
      <w:proofErr w:type="spellStart"/>
      <w:r>
        <w:rPr>
          <w:rStyle w:val="Subst"/>
          <w:bCs/>
          <w:iCs/>
        </w:rPr>
        <w:t>Стройаудит</w:t>
      </w:r>
      <w:proofErr w:type="spellEnd"/>
      <w:r>
        <w:rPr>
          <w:rStyle w:val="Subst"/>
          <w:bCs/>
          <w:iCs/>
        </w:rPr>
        <w:t>-экспресс» в 2024 г. за 2023 г., в котором ООО «</w:t>
      </w:r>
      <w:proofErr w:type="spellStart"/>
      <w:r>
        <w:rPr>
          <w:rStyle w:val="Subst"/>
          <w:bCs/>
          <w:iCs/>
        </w:rPr>
        <w:t>Стройаудит</w:t>
      </w:r>
      <w:proofErr w:type="spellEnd"/>
      <w:r>
        <w:rPr>
          <w:rStyle w:val="Subst"/>
          <w:bCs/>
          <w:iCs/>
        </w:rPr>
        <w:t>-экспресс» проводилась независимая проверка финансовой отчетности Общества за 2023 год, подготовленной в соответствии с МСФО, составляет 600 000 рублей (НДС не облагается).</w:t>
      </w:r>
    </w:p>
    <w:p w:rsidR="00CB294C" w:rsidRDefault="00CB294C" w:rsidP="00CB294C">
      <w:pPr>
        <w:ind w:left="200"/>
        <w:jc w:val="both"/>
      </w:pPr>
      <w:r>
        <w:rPr>
          <w:rStyle w:val="Subst"/>
          <w:bCs/>
          <w:iCs/>
        </w:rPr>
        <w:t>Отсроченных и просроченных платежей за оказанные аудитором услуги нет</w:t>
      </w:r>
    </w:p>
    <w:p w:rsidR="00CB294C" w:rsidRDefault="00CB294C" w:rsidP="00CB294C">
      <w:pPr>
        <w:pStyle w:val="SubHeading"/>
        <w:ind w:left="200"/>
        <w:jc w:val="both"/>
      </w:pPr>
      <w:r>
        <w:t>Порядок выбора аудитора эмитента</w:t>
      </w:r>
    </w:p>
    <w:p w:rsidR="00CB294C" w:rsidRPr="00F11CA6" w:rsidRDefault="00CB294C" w:rsidP="00F11CA6">
      <w:pPr>
        <w:spacing w:before="0"/>
        <w:ind w:left="200"/>
        <w:jc w:val="both"/>
        <w:rPr>
          <w:rStyle w:val="Subst"/>
          <w:bCs/>
          <w:iCs/>
        </w:rPr>
      </w:pPr>
      <w:r>
        <w:rPr>
          <w:rStyle w:val="Subst"/>
          <w:bCs/>
          <w:iCs/>
        </w:rPr>
        <w:t>Наличие процедуры конкурса, связанного с выбором аудитора, не предусмотрено</w:t>
      </w:r>
    </w:p>
    <w:p w:rsidR="00F11CA6" w:rsidRDefault="00F11CA6" w:rsidP="00CB294C">
      <w:pPr>
        <w:ind w:left="400"/>
        <w:jc w:val="both"/>
      </w:pPr>
    </w:p>
    <w:p w:rsidR="00CB294C" w:rsidRDefault="00CB294C" w:rsidP="00F11CA6">
      <w:pPr>
        <w:spacing w:before="0"/>
        <w:ind w:left="200"/>
        <w:jc w:val="both"/>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sidRPr="00F11CA6">
        <w:rPr>
          <w:b/>
          <w:i/>
        </w:rPr>
        <w:t>ФЗ "Об акционерных обществах" не определен срок и порядок выдвижения кандидатуры аудитора для включения его в список для голосования по вопросу об утверждении аудитора Общества. В связи с этим, кандидатура аудитора для утверждения на годовом Общем собрании акционеров определяется Советом директоров Общества при подготовке к проведению годового Общего собрания акционеров.</w:t>
      </w:r>
      <w:r w:rsidRPr="00F11CA6">
        <w:rPr>
          <w:b/>
          <w:i/>
        </w:rPr>
        <w:br/>
        <w:t>Советом директоров Общества (Протокол №274 от 18.05.2023 г.) было рекомендовано годовому Общему собранию акционеров Общества утвердить аудитором Общества ООО «</w:t>
      </w:r>
      <w:proofErr w:type="spellStart"/>
      <w:r w:rsidRPr="00F11CA6">
        <w:rPr>
          <w:b/>
          <w:i/>
        </w:rPr>
        <w:t>Стройаудит</w:t>
      </w:r>
      <w:proofErr w:type="spellEnd"/>
      <w:r w:rsidRPr="00F11CA6">
        <w:rPr>
          <w:b/>
          <w:i/>
        </w:rPr>
        <w:t>-экспресс». Решением годового Общего собрания акционеров ПАО «Мордовская энергосбытовая компания» (Протокол №28 от 26.06.2023 г.) ООО «</w:t>
      </w:r>
      <w:proofErr w:type="spellStart"/>
      <w:r w:rsidRPr="00F11CA6">
        <w:rPr>
          <w:b/>
          <w:i/>
        </w:rPr>
        <w:t>Стройаудит</w:t>
      </w:r>
      <w:proofErr w:type="spellEnd"/>
      <w:r w:rsidRPr="00F11CA6">
        <w:rPr>
          <w:b/>
          <w:i/>
        </w:rPr>
        <w:t>-экспресс» было утверждено аудитором Общества (по аудиту годовой бухгалтерской (финансовой) отчетности).</w:t>
      </w:r>
      <w:r w:rsidRPr="00F11CA6">
        <w:rPr>
          <w:b/>
          <w:i/>
        </w:rPr>
        <w:br/>
        <w:t>ООО «</w:t>
      </w:r>
      <w:proofErr w:type="spellStart"/>
      <w:r w:rsidRPr="00F11CA6">
        <w:rPr>
          <w:b/>
          <w:i/>
        </w:rPr>
        <w:t>Стройаудит</w:t>
      </w:r>
      <w:proofErr w:type="spellEnd"/>
      <w:r w:rsidRPr="00F11CA6">
        <w:rPr>
          <w:b/>
          <w:i/>
        </w:rPr>
        <w:t>-экспресс» было также утверждено Советом директоров Общества аудитором для проведения проверки промежуточной финансовой информации ПАО «Мордовская энергосбытовая компания» по состоянию на 30.06.2023 г. (Протокол №276 от 13.07.2023 г.) и независимой проверки финансовой отчетности Общества за 2023 год, подготовленной в соответствии с МСФО (Протокол №281 от 05.12.2023 г.).</w:t>
      </w:r>
    </w:p>
    <w:p w:rsidR="00CB294C" w:rsidRDefault="00CB294C" w:rsidP="00CB294C">
      <w:pPr>
        <w:ind w:left="200"/>
        <w:jc w:val="both"/>
      </w:pPr>
    </w:p>
    <w:p w:rsidR="00CB294C" w:rsidRDefault="00CB294C" w:rsidP="00CB294C">
      <w:pPr>
        <w:ind w:left="200"/>
        <w:jc w:val="both"/>
      </w:pPr>
      <w:r>
        <w:t>Полное фирменное наименование:</w:t>
      </w:r>
      <w:r>
        <w:rPr>
          <w:rStyle w:val="Subst"/>
          <w:bCs/>
          <w:iCs/>
        </w:rPr>
        <w:t xml:space="preserve"> Общество с ограниченной ответственностью «Аудиторская фирма «ИНТЕРКОН»</w:t>
      </w:r>
    </w:p>
    <w:p w:rsidR="00CB294C" w:rsidRDefault="00CB294C" w:rsidP="00CB294C">
      <w:pPr>
        <w:ind w:left="200"/>
        <w:jc w:val="both"/>
      </w:pPr>
      <w:r>
        <w:t>Сокращенное фирменное наименование:</w:t>
      </w:r>
      <w:r>
        <w:rPr>
          <w:rStyle w:val="Subst"/>
          <w:bCs/>
          <w:iCs/>
        </w:rPr>
        <w:t xml:space="preserve"> ООО «Аудиторская фирма «ИНТЕРКОН»</w:t>
      </w:r>
    </w:p>
    <w:p w:rsidR="00CB294C" w:rsidRDefault="00CB294C" w:rsidP="00CB294C">
      <w:pPr>
        <w:ind w:left="200"/>
        <w:jc w:val="both"/>
      </w:pPr>
      <w:r>
        <w:t>Место нахождения:</w:t>
      </w:r>
      <w:r>
        <w:rPr>
          <w:rStyle w:val="Subst"/>
          <w:bCs/>
          <w:iCs/>
        </w:rPr>
        <w:t xml:space="preserve"> 105094, г. Москва, Семеновская наб., д. 2/1, стр.1, </w:t>
      </w:r>
      <w:proofErr w:type="spellStart"/>
      <w:r>
        <w:rPr>
          <w:rStyle w:val="Subst"/>
          <w:bCs/>
          <w:iCs/>
        </w:rPr>
        <w:t>помещ</w:t>
      </w:r>
      <w:proofErr w:type="spellEnd"/>
      <w:r>
        <w:rPr>
          <w:rStyle w:val="Subst"/>
          <w:bCs/>
          <w:iCs/>
        </w:rPr>
        <w:t>. 1/10</w:t>
      </w:r>
    </w:p>
    <w:p w:rsidR="00CB294C" w:rsidRDefault="00CB294C" w:rsidP="00CB294C">
      <w:pPr>
        <w:ind w:left="200"/>
        <w:jc w:val="both"/>
      </w:pPr>
      <w:r>
        <w:t>ИНН:</w:t>
      </w:r>
      <w:r>
        <w:rPr>
          <w:rStyle w:val="Subst"/>
          <w:bCs/>
          <w:iCs/>
        </w:rPr>
        <w:t xml:space="preserve"> 7707124860</w:t>
      </w:r>
    </w:p>
    <w:p w:rsidR="00CB294C" w:rsidRDefault="00CB294C" w:rsidP="00CB294C">
      <w:pPr>
        <w:ind w:left="200"/>
        <w:jc w:val="both"/>
      </w:pPr>
      <w:r>
        <w:t>ОГРН:</w:t>
      </w:r>
      <w:r>
        <w:rPr>
          <w:rStyle w:val="Subst"/>
          <w:bCs/>
          <w:iCs/>
        </w:rPr>
        <w:t xml:space="preserve"> 1027700313464</w:t>
      </w:r>
    </w:p>
    <w:p w:rsidR="00CB294C" w:rsidRDefault="00CB294C" w:rsidP="00CB294C">
      <w:pPr>
        <w:pStyle w:val="SubHeading"/>
        <w:ind w:left="200"/>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rsidR="00CB294C" w:rsidRDefault="00CB294C" w:rsidP="00CB294C">
      <w:pPr>
        <w:pStyle w:val="ThinDelim"/>
        <w:jc w:val="both"/>
      </w:pPr>
    </w:p>
    <w:tbl>
      <w:tblPr>
        <w:tblW w:w="8647" w:type="dxa"/>
        <w:tblInd w:w="356" w:type="dxa"/>
        <w:tblLayout w:type="fixed"/>
        <w:tblCellMar>
          <w:left w:w="72" w:type="dxa"/>
          <w:right w:w="72" w:type="dxa"/>
        </w:tblCellMar>
        <w:tblLook w:val="0000" w:firstRow="0" w:lastRow="0" w:firstColumn="0" w:lastColumn="0" w:noHBand="0" w:noVBand="0"/>
      </w:tblPr>
      <w:tblGrid>
        <w:gridCol w:w="4652"/>
        <w:gridCol w:w="3995"/>
      </w:tblGrid>
      <w:tr w:rsidR="00CB294C" w:rsidTr="00540B95">
        <w:tc>
          <w:tcPr>
            <w:tcW w:w="4652" w:type="dxa"/>
            <w:tcBorders>
              <w:top w:val="double" w:sz="6" w:space="0" w:color="auto"/>
              <w:left w:val="double" w:sz="6" w:space="0" w:color="auto"/>
              <w:bottom w:val="single" w:sz="6" w:space="0" w:color="auto"/>
              <w:right w:val="single" w:sz="6" w:space="0" w:color="auto"/>
            </w:tcBorders>
          </w:tcPr>
          <w:p w:rsidR="00CB294C" w:rsidRDefault="00CB294C" w:rsidP="00CB294C">
            <w:pPr>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3995" w:type="dxa"/>
            <w:tcBorders>
              <w:top w:val="double" w:sz="6" w:space="0" w:color="auto"/>
              <w:left w:val="single" w:sz="6" w:space="0" w:color="auto"/>
              <w:bottom w:val="single" w:sz="6" w:space="0" w:color="auto"/>
              <w:right w:val="double" w:sz="6" w:space="0" w:color="auto"/>
            </w:tcBorders>
          </w:tcPr>
          <w:p w:rsidR="00CB294C" w:rsidRDefault="00CB294C" w:rsidP="00CB294C">
            <w:pPr>
              <w:jc w:val="both"/>
            </w:pPr>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CB294C" w:rsidTr="00540B95">
        <w:tc>
          <w:tcPr>
            <w:tcW w:w="4652" w:type="dxa"/>
            <w:tcBorders>
              <w:top w:val="single" w:sz="6" w:space="0" w:color="auto"/>
              <w:left w:val="double" w:sz="6" w:space="0" w:color="auto"/>
              <w:bottom w:val="single" w:sz="6" w:space="0" w:color="auto"/>
              <w:right w:val="single" w:sz="6" w:space="0" w:color="auto"/>
            </w:tcBorders>
          </w:tcPr>
          <w:p w:rsidR="00CB294C" w:rsidRDefault="00CB294C" w:rsidP="00CB294C">
            <w:pPr>
              <w:jc w:val="both"/>
            </w:pPr>
            <w:r>
              <w:t>6 месяцев 2024 года</w:t>
            </w:r>
          </w:p>
        </w:tc>
        <w:tc>
          <w:tcPr>
            <w:tcW w:w="3995" w:type="dxa"/>
            <w:tcBorders>
              <w:top w:val="single" w:sz="6" w:space="0" w:color="auto"/>
              <w:left w:val="single" w:sz="6" w:space="0" w:color="auto"/>
              <w:bottom w:val="single" w:sz="6" w:space="0" w:color="auto"/>
              <w:right w:val="double" w:sz="6" w:space="0" w:color="auto"/>
            </w:tcBorders>
          </w:tcPr>
          <w:p w:rsidR="00CB294C" w:rsidRDefault="00CB294C" w:rsidP="00CB294C">
            <w:pPr>
              <w:jc w:val="both"/>
            </w:pPr>
            <w:r>
              <w:t xml:space="preserve">отдельная сокращенная промежуточная финансовая отчетность в соответствии с МСФО за 6 месяцев, закончившихся 30 июня </w:t>
            </w:r>
            <w:r>
              <w:lastRenderedPageBreak/>
              <w:t>2024 года</w:t>
            </w:r>
          </w:p>
        </w:tc>
      </w:tr>
      <w:tr w:rsidR="00CB294C" w:rsidTr="00540B95">
        <w:tc>
          <w:tcPr>
            <w:tcW w:w="4652" w:type="dxa"/>
            <w:tcBorders>
              <w:top w:val="single" w:sz="6" w:space="0" w:color="auto"/>
              <w:left w:val="double" w:sz="6" w:space="0" w:color="auto"/>
              <w:bottom w:val="single" w:sz="6" w:space="0" w:color="auto"/>
              <w:right w:val="single" w:sz="6" w:space="0" w:color="auto"/>
            </w:tcBorders>
          </w:tcPr>
          <w:p w:rsidR="00CB294C" w:rsidRDefault="00CB294C" w:rsidP="00CB294C">
            <w:pPr>
              <w:jc w:val="both"/>
            </w:pPr>
            <w:r>
              <w:lastRenderedPageBreak/>
              <w:t>2024 год</w:t>
            </w:r>
          </w:p>
        </w:tc>
        <w:tc>
          <w:tcPr>
            <w:tcW w:w="3995" w:type="dxa"/>
            <w:tcBorders>
              <w:top w:val="single" w:sz="6" w:space="0" w:color="auto"/>
              <w:left w:val="single" w:sz="6" w:space="0" w:color="auto"/>
              <w:bottom w:val="single" w:sz="6" w:space="0" w:color="auto"/>
              <w:right w:val="double" w:sz="6" w:space="0" w:color="auto"/>
            </w:tcBorders>
          </w:tcPr>
          <w:p w:rsidR="00CB294C" w:rsidRDefault="00CB294C" w:rsidP="00CB294C">
            <w:pPr>
              <w:jc w:val="both"/>
            </w:pPr>
            <w:r>
              <w:t>годовая бухгалтерская (финансовая) отчетность эмитента за 2024 г.</w:t>
            </w:r>
          </w:p>
        </w:tc>
      </w:tr>
      <w:tr w:rsidR="00CB294C" w:rsidTr="00540B95">
        <w:tc>
          <w:tcPr>
            <w:tcW w:w="4652" w:type="dxa"/>
            <w:tcBorders>
              <w:top w:val="single" w:sz="6" w:space="0" w:color="auto"/>
              <w:left w:val="double" w:sz="6" w:space="0" w:color="auto"/>
              <w:bottom w:val="double" w:sz="6" w:space="0" w:color="auto"/>
              <w:right w:val="single" w:sz="6" w:space="0" w:color="auto"/>
            </w:tcBorders>
          </w:tcPr>
          <w:p w:rsidR="00CB294C" w:rsidRDefault="00CB294C" w:rsidP="00CB294C">
            <w:pPr>
              <w:jc w:val="both"/>
            </w:pPr>
            <w:r>
              <w:t>2024 год</w:t>
            </w:r>
          </w:p>
        </w:tc>
        <w:tc>
          <w:tcPr>
            <w:tcW w:w="3995" w:type="dxa"/>
            <w:tcBorders>
              <w:top w:val="single" w:sz="6" w:space="0" w:color="auto"/>
              <w:left w:val="single" w:sz="6" w:space="0" w:color="auto"/>
              <w:bottom w:val="double" w:sz="6" w:space="0" w:color="auto"/>
              <w:right w:val="double" w:sz="6" w:space="0" w:color="auto"/>
            </w:tcBorders>
          </w:tcPr>
          <w:p w:rsidR="00CB294C" w:rsidRDefault="00CB294C" w:rsidP="00CB294C">
            <w:pPr>
              <w:jc w:val="both"/>
            </w:pPr>
            <w:r>
              <w:t>финансовая отчетность, подготовленная в соответствии с МСФО, за год, закончившийся 31 декабря 2024 года</w:t>
            </w:r>
          </w:p>
        </w:tc>
      </w:tr>
    </w:tbl>
    <w:p w:rsidR="00CB294C" w:rsidRDefault="00CB294C" w:rsidP="00CB294C">
      <w:pPr>
        <w:jc w:val="both"/>
      </w:pPr>
    </w:p>
    <w:p w:rsidR="00CB294C" w:rsidRDefault="00CB294C" w:rsidP="00CB294C">
      <w:pPr>
        <w:ind w:left="200"/>
        <w:jc w:val="both"/>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r>
        <w:rPr>
          <w:rStyle w:val="Subst"/>
          <w:bCs/>
          <w:iCs/>
        </w:rPr>
        <w:t>В 2024 году были оказаны следующие сопутствующие аудиту и прочие связанные с аудиторской деятельностью услуги:</w:t>
      </w:r>
      <w:r>
        <w:rPr>
          <w:rStyle w:val="Subst"/>
          <w:bCs/>
          <w:iCs/>
        </w:rPr>
        <w:br/>
        <w:t>В течение 2024 г. аудитором была проведена обзорная проверка сокращенной промежуточной финансовой отчетности, подготовленной в соответствии с МСФО за 6 месяцев, закончившихся 30 июня 2024 года.</w:t>
      </w:r>
    </w:p>
    <w:p w:rsidR="00CB294C" w:rsidRDefault="00CB294C" w:rsidP="00CB294C">
      <w:pPr>
        <w:pStyle w:val="SubHeading"/>
        <w:ind w:left="200"/>
        <w:jc w:val="both"/>
      </w:pPr>
      <w: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CB294C" w:rsidRDefault="00CB294C" w:rsidP="00EC6F31">
      <w:pPr>
        <w:ind w:left="200"/>
        <w:jc w:val="both"/>
      </w:pPr>
      <w:r w:rsidRPr="00EC6F31">
        <w:rPr>
          <w:b/>
          <w:i/>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rsidR="00CB294C" w:rsidRDefault="00CB294C" w:rsidP="00EC6F31">
      <w:pPr>
        <w:pStyle w:val="SubHeading"/>
        <w:ind w:left="200"/>
        <w:jc w:val="both"/>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sidRPr="00EC6F31">
        <w:rPr>
          <w:b/>
          <w:i/>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rsidR="00CB294C" w:rsidRDefault="00CB294C" w:rsidP="00EC6F31">
      <w:pPr>
        <w:pStyle w:val="SubHeading"/>
        <w:ind w:left="200"/>
        <w:jc w:val="both"/>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sidRPr="00EC6F31">
        <w:rPr>
          <w:b/>
          <w:i/>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CB294C" w:rsidRDefault="00CB294C" w:rsidP="00EC6F31">
      <w:pPr>
        <w:pStyle w:val="SubHeading"/>
        <w:ind w:left="200"/>
        <w:jc w:val="both"/>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sidRPr="00EC6F31">
        <w:rPr>
          <w:b/>
          <w:i/>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CB294C" w:rsidRDefault="00CB294C" w:rsidP="00EC6F31">
      <w:pPr>
        <w:pStyle w:val="SubHeading"/>
        <w:ind w:left="200"/>
        <w:jc w:val="both"/>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sidRPr="00EC6F31">
        <w:rPr>
          <w:b/>
          <w:i/>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CB294C" w:rsidRDefault="00CB294C" w:rsidP="00EC6F31">
      <w:pPr>
        <w:pStyle w:val="SubHeading"/>
        <w:ind w:left="200"/>
        <w:jc w:val="both"/>
      </w:pPr>
      <w:r>
        <w:t>Иные факторы, которые могут повлиять на независимость аудитора от эмитента:</w:t>
      </w:r>
      <w:r>
        <w:br/>
      </w:r>
      <w:r w:rsidRPr="00EC6F31">
        <w:rPr>
          <w:b/>
          <w:i/>
        </w:rPr>
        <w:t>Иных факторов, которые могут повлиять на независимость аудитора от эмитента, нет</w:t>
      </w:r>
    </w:p>
    <w:p w:rsidR="00CB294C" w:rsidRDefault="00CB294C" w:rsidP="00CB294C">
      <w:pPr>
        <w:ind w:left="200"/>
        <w:jc w:val="both"/>
      </w:pPr>
      <w:r>
        <w:t xml:space="preserve">Фактический размер вознаграждения, выплаченного эмитентом аудитору за последний завершенный </w:t>
      </w:r>
      <w:r>
        <w:lastRenderedPageBreak/>
        <w:t>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br/>
      </w:r>
      <w:r>
        <w:rPr>
          <w:rStyle w:val="Subst"/>
          <w:bCs/>
          <w:iCs/>
        </w:rPr>
        <w:t>Фактический размер вознаграждения, выплаченного аудиторской организации ООО «Аудиторская фирма «ИНТЕРКОН» в 2025 г. за проведение независимой проверки годовой бухгалтерской (финансовой) отчетности за 2024 год, составляет 1 030 000,00 (Один миллион тридцать тысяч) рублей 00 копеек (без учета НДС в связи с применением УСН).</w:t>
      </w:r>
      <w:r>
        <w:rPr>
          <w:rStyle w:val="Subst"/>
          <w:bCs/>
          <w:iCs/>
        </w:rPr>
        <w:br/>
        <w:t>Фактический размер вознаграждения, выплаченного аудиторской организации ООО «Аудиторская фирма «ИНТЕРКОН» в 2024 г. за проведение обзорной проверки промежуточной финансовой отчетности ПАО «Мордовская энергосбытовая компания» за 6 месяцев 2024 г., подготовленной в соответствии с МСФО, составляет 440 000 (Четыреста сорок тысяч) рублей (без учета НДС в связи с применением УСН).</w:t>
      </w:r>
      <w:r>
        <w:rPr>
          <w:rStyle w:val="Subst"/>
          <w:bCs/>
          <w:iCs/>
        </w:rPr>
        <w:br/>
        <w:t>Фактический размер вознаграждения, выплаченного аудиторской организации ООО «Аудиторская фирма «ИНТЕРКОН» в 2025 г.  за проведение независимой проверки финансовой отчетности Общества за 2024 год, подготовленной в соответствии с МСФО, составляет 1 030 000,00 (Один миллион тридцать тысяч) рублей 00 копеек (без учета НДС в связи с применением УСН).</w:t>
      </w:r>
    </w:p>
    <w:p w:rsidR="00CB294C" w:rsidRDefault="00CB294C" w:rsidP="00CB294C">
      <w:pPr>
        <w:ind w:left="200"/>
        <w:jc w:val="both"/>
      </w:pPr>
      <w:r>
        <w:rPr>
          <w:rStyle w:val="Subst"/>
          <w:bCs/>
          <w:iCs/>
        </w:rPr>
        <w:t>Отсроченных и просроченных платежей за оказанные аудитором услуги нет</w:t>
      </w:r>
    </w:p>
    <w:p w:rsidR="00CB294C" w:rsidRDefault="00CB294C" w:rsidP="00CB294C">
      <w:pPr>
        <w:pStyle w:val="SubHeading"/>
        <w:ind w:left="200"/>
        <w:jc w:val="both"/>
      </w:pPr>
      <w:r>
        <w:t>Порядок выбора аудитора эмитента</w:t>
      </w:r>
    </w:p>
    <w:p w:rsidR="00CB294C" w:rsidRDefault="00CB294C" w:rsidP="00DE40D8">
      <w:pPr>
        <w:pStyle w:val="SubHeading"/>
        <w:ind w:left="200"/>
        <w:jc w:val="both"/>
      </w:pPr>
      <w:r w:rsidRPr="00DE40D8">
        <w:rPr>
          <w:b/>
          <w:i/>
        </w:rPr>
        <w:t>Наличие процедуры конкурса, связанного с выбором аудитора, не предусмотрено</w:t>
      </w:r>
    </w:p>
    <w:p w:rsidR="00CB294C" w:rsidRDefault="00CB294C" w:rsidP="00DE40D8">
      <w:pPr>
        <w:pStyle w:val="SubHeading"/>
        <w:ind w:left="200"/>
        <w:jc w:val="both"/>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sidRPr="00DE40D8">
        <w:rPr>
          <w:b/>
          <w:i/>
        </w:rPr>
        <w:t>ФЗ "Об акционерных обществах" не определен срок и порядок выдвижения кандидатуры аудиторской организации для включения его в список для голосования по вопросу об утверждении аудиторской организации Общества. В связи с этим, кандидатура аудиторской организации для утверждения на годовом Общем собрании акционеров определяется Советом директоров Общества при подготовке к проведению годового Общего собрания акционеров.</w:t>
      </w:r>
      <w:r w:rsidRPr="00DE40D8">
        <w:rPr>
          <w:b/>
          <w:i/>
        </w:rPr>
        <w:br/>
        <w:t>Советом директоров Общества (Протокол №289 от 22.05.2024 г.) было рекомендовано годовому Общему собранию акционеров Общества утвердить в качестве аудиторской организацией Общества - ООО «Аудиторская фирма «ИНТЕРКОН». Решением годового Общего собрания акционеров ПАО «Мордовская энергосбытовая компания» (Протокол №30 от 27.06.2024 г.) ООО «Аудиторская фирма «ИНТЕРКОН» была утверждена в качестве аудиторской организации, осуществляющей аудит бухгалтерской (финансовой) отчетности Общества за 2024 г., подготовленной в соответствии с Российскими стандартами бухгалтерского учета (РСБУ); финансовой отчетности Общества за 2024 г., подготовленной в соответствии с Международными стандартами финансовой отчетности (МСФО), а также отдельной сокращенной промежуточной финансовой отчетности в соответствии с Международными стандартами финансовой отчетности (МСФО) за 1 полугодие 2024 г.</w:t>
      </w:r>
    </w:p>
    <w:p w:rsidR="00CB294C" w:rsidRDefault="00CB294C" w:rsidP="00CB294C">
      <w:pPr>
        <w:ind w:left="200"/>
        <w:jc w:val="both"/>
      </w:pPr>
    </w:p>
    <w:p w:rsidR="00CB294C" w:rsidRDefault="00CB294C" w:rsidP="00CB294C">
      <w:pPr>
        <w:ind w:left="200"/>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76611B" w:rsidRDefault="0076611B" w:rsidP="00E223A1">
      <w:pPr>
        <w:pStyle w:val="1"/>
        <w:jc w:val="both"/>
      </w:pPr>
      <w:bookmarkStart w:id="64" w:name="_Toc196398505"/>
      <w:r>
        <w:t>Раздел 5. Консолидированная финансовая отчетность (финансовая отчетность), бухгалтерская (финансовая) отчетность эмитента</w:t>
      </w:r>
      <w:bookmarkEnd w:id="64"/>
    </w:p>
    <w:p w:rsidR="0076611B" w:rsidRDefault="0076611B" w:rsidP="00E223A1">
      <w:pPr>
        <w:pStyle w:val="2"/>
        <w:jc w:val="both"/>
      </w:pPr>
      <w:bookmarkStart w:id="65" w:name="_Toc196398506"/>
      <w:r>
        <w:t>5.1. Консолидированная финансовая отчетность (финансовая отчетность) эмитента</w:t>
      </w:r>
      <w:bookmarkEnd w:id="65"/>
    </w:p>
    <w:p w:rsidR="0076611B" w:rsidRDefault="0076611B" w:rsidP="00E223A1">
      <w:pPr>
        <w:ind w:left="200"/>
        <w:jc w:val="both"/>
      </w:pPr>
    </w:p>
    <w:p w:rsidR="0076611B" w:rsidRDefault="0076611B" w:rsidP="00E223A1">
      <w:pPr>
        <w:ind w:left="200"/>
        <w:jc w:val="both"/>
      </w:pPr>
      <w:proofErr w:type="spellStart"/>
      <w:r>
        <w:t>Cсылка</w:t>
      </w:r>
      <w:proofErr w:type="spellEnd"/>
      <w:r>
        <w:t xml:space="preserve"> на страницу в сети Интернет, на которой опубликована указанная отчетность:</w:t>
      </w:r>
      <w:r>
        <w:rPr>
          <w:rStyle w:val="Subst"/>
          <w:bCs/>
          <w:iCs/>
        </w:rPr>
        <w:t xml:space="preserve"> </w:t>
      </w:r>
      <w:hyperlink r:id="rId17" w:history="1">
        <w:r w:rsidR="00B46AC1" w:rsidRPr="00713C62">
          <w:rPr>
            <w:rStyle w:val="a5"/>
          </w:rPr>
          <w:t>https://www.e-disclosure.ru/portal/files.aspx?id=5754&amp;type=3</w:t>
        </w:r>
      </w:hyperlink>
      <w:r w:rsidR="00B46AC1">
        <w:rPr>
          <w:rStyle w:val="Subst"/>
          <w:bCs/>
          <w:iCs/>
        </w:rPr>
        <w:t xml:space="preserve"> </w:t>
      </w:r>
    </w:p>
    <w:p w:rsidR="0076611B" w:rsidRDefault="0076611B" w:rsidP="00E223A1">
      <w:pPr>
        <w:pStyle w:val="2"/>
        <w:jc w:val="both"/>
      </w:pPr>
      <w:bookmarkStart w:id="66" w:name="_Toc196398507"/>
      <w:r>
        <w:t>5.2. Бухгалтерская (финансовая) отчетность</w:t>
      </w:r>
      <w:bookmarkEnd w:id="66"/>
    </w:p>
    <w:p w:rsidR="0076611B" w:rsidRDefault="0076611B" w:rsidP="00E223A1">
      <w:pPr>
        <w:ind w:left="200"/>
        <w:jc w:val="both"/>
      </w:pPr>
      <w:proofErr w:type="spellStart"/>
      <w:r>
        <w:t>Cсылка</w:t>
      </w:r>
      <w:proofErr w:type="spellEnd"/>
      <w:r>
        <w:t xml:space="preserve"> на страницу в сети Интернет, на которой опубликована указанная отчетность:</w:t>
      </w:r>
      <w:r>
        <w:rPr>
          <w:rStyle w:val="Subst"/>
          <w:bCs/>
          <w:iCs/>
        </w:rPr>
        <w:t xml:space="preserve"> </w:t>
      </w:r>
      <w:hyperlink r:id="rId18" w:history="1">
        <w:r w:rsidR="00B46AC1" w:rsidRPr="00713C62">
          <w:rPr>
            <w:rStyle w:val="a5"/>
          </w:rPr>
          <w:t>https://www.e-disclosure.ru/portal/files.aspx?id=5754&amp;type=3</w:t>
        </w:r>
      </w:hyperlink>
      <w:r w:rsidR="00B46AC1">
        <w:rPr>
          <w:rStyle w:val="Subst"/>
          <w:bCs/>
          <w:iCs/>
        </w:rPr>
        <w:t xml:space="preserve"> </w:t>
      </w:r>
    </w:p>
    <w:sectPr w:rsidR="0076611B" w:rsidSect="001B7D1D">
      <w:footerReference w:type="default" r:id="rId19"/>
      <w:pgSz w:w="11907" w:h="16840"/>
      <w:pgMar w:top="1134" w:right="1418" w:bottom="1134"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47EC" w:rsidRDefault="008D47EC">
      <w:pPr>
        <w:spacing w:before="0" w:after="0"/>
      </w:pPr>
      <w:r>
        <w:separator/>
      </w:r>
    </w:p>
  </w:endnote>
  <w:endnote w:type="continuationSeparator" w:id="0">
    <w:p w:rsidR="008D47EC" w:rsidRDefault="008D47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608E" w:rsidRDefault="0029608E">
    <w:pPr>
      <w:framePr w:wrap="auto" w:hAnchor="text" w:xAlign="right"/>
      <w:spacing w:before="0" w:after="0"/>
    </w:pPr>
    <w:r>
      <w:fldChar w:fldCharType="begin"/>
    </w:r>
    <w:r>
      <w:instrText>PAGE</w:instrText>
    </w:r>
    <w:r>
      <w:fldChar w:fldCharType="separate"/>
    </w:r>
    <w:r w:rsidR="00AC48B5">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47EC" w:rsidRDefault="008D47EC">
      <w:pPr>
        <w:spacing w:before="0" w:after="0"/>
      </w:pPr>
      <w:r>
        <w:separator/>
      </w:r>
    </w:p>
  </w:footnote>
  <w:footnote w:type="continuationSeparator" w:id="0">
    <w:p w:rsidR="008D47EC" w:rsidRDefault="008D47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13264"/>
    <w:multiLevelType w:val="hybridMultilevel"/>
    <w:tmpl w:val="F000BEFE"/>
    <w:lvl w:ilvl="0" w:tplc="EB8E5A2E">
      <w:start w:val="1"/>
      <w:numFmt w:val="decimal"/>
      <w:lvlText w:val="%1."/>
      <w:lvlJc w:val="left"/>
      <w:pPr>
        <w:ind w:left="560" w:hanging="360"/>
      </w:pPr>
      <w:rPr>
        <w:rFonts w:cs="Times New Roman" w:hint="default"/>
        <w:b/>
        <w:i/>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2D"/>
    <w:rsid w:val="000162EB"/>
    <w:rsid w:val="0006402A"/>
    <w:rsid w:val="00097DA6"/>
    <w:rsid w:val="000F2AE4"/>
    <w:rsid w:val="00124487"/>
    <w:rsid w:val="001352F5"/>
    <w:rsid w:val="00155353"/>
    <w:rsid w:val="00196329"/>
    <w:rsid w:val="001976CD"/>
    <w:rsid w:val="001A3576"/>
    <w:rsid w:val="001B7D1D"/>
    <w:rsid w:val="001D5FFA"/>
    <w:rsid w:val="0020357F"/>
    <w:rsid w:val="00213DFD"/>
    <w:rsid w:val="00227387"/>
    <w:rsid w:val="00246397"/>
    <w:rsid w:val="00267270"/>
    <w:rsid w:val="00280853"/>
    <w:rsid w:val="0029608E"/>
    <w:rsid w:val="002A306D"/>
    <w:rsid w:val="002A555A"/>
    <w:rsid w:val="002E6B2C"/>
    <w:rsid w:val="002F658A"/>
    <w:rsid w:val="00302DD8"/>
    <w:rsid w:val="003133FA"/>
    <w:rsid w:val="00330586"/>
    <w:rsid w:val="00332E9F"/>
    <w:rsid w:val="00334EF9"/>
    <w:rsid w:val="0037000F"/>
    <w:rsid w:val="003825AD"/>
    <w:rsid w:val="003979C3"/>
    <w:rsid w:val="003A54E6"/>
    <w:rsid w:val="003B5E61"/>
    <w:rsid w:val="0042392D"/>
    <w:rsid w:val="00460E0B"/>
    <w:rsid w:val="00474739"/>
    <w:rsid w:val="004C718B"/>
    <w:rsid w:val="00540B95"/>
    <w:rsid w:val="00566DC0"/>
    <w:rsid w:val="00584BAE"/>
    <w:rsid w:val="005F7BC6"/>
    <w:rsid w:val="00605615"/>
    <w:rsid w:val="00623A78"/>
    <w:rsid w:val="00672E3B"/>
    <w:rsid w:val="006A0806"/>
    <w:rsid w:val="006A0E7E"/>
    <w:rsid w:val="006A2534"/>
    <w:rsid w:val="006A71D6"/>
    <w:rsid w:val="00711079"/>
    <w:rsid w:val="00713C62"/>
    <w:rsid w:val="0072014C"/>
    <w:rsid w:val="00731640"/>
    <w:rsid w:val="00750090"/>
    <w:rsid w:val="00751653"/>
    <w:rsid w:val="00753B74"/>
    <w:rsid w:val="0076611B"/>
    <w:rsid w:val="007A5227"/>
    <w:rsid w:val="007A688B"/>
    <w:rsid w:val="007A7ED1"/>
    <w:rsid w:val="008024FB"/>
    <w:rsid w:val="00855F0A"/>
    <w:rsid w:val="00894238"/>
    <w:rsid w:val="008D47EC"/>
    <w:rsid w:val="008E0532"/>
    <w:rsid w:val="008F435C"/>
    <w:rsid w:val="0090186D"/>
    <w:rsid w:val="00950EB4"/>
    <w:rsid w:val="009568D7"/>
    <w:rsid w:val="00967806"/>
    <w:rsid w:val="00986DC2"/>
    <w:rsid w:val="009C0A70"/>
    <w:rsid w:val="00A17044"/>
    <w:rsid w:val="00A25A15"/>
    <w:rsid w:val="00A3008B"/>
    <w:rsid w:val="00A318DD"/>
    <w:rsid w:val="00A32950"/>
    <w:rsid w:val="00A6716D"/>
    <w:rsid w:val="00A81465"/>
    <w:rsid w:val="00A90CA1"/>
    <w:rsid w:val="00AC48B5"/>
    <w:rsid w:val="00B153EF"/>
    <w:rsid w:val="00B30CEF"/>
    <w:rsid w:val="00B46AC1"/>
    <w:rsid w:val="00B65B2A"/>
    <w:rsid w:val="00B66143"/>
    <w:rsid w:val="00BC566D"/>
    <w:rsid w:val="00BC61BC"/>
    <w:rsid w:val="00BE6791"/>
    <w:rsid w:val="00BF1CF4"/>
    <w:rsid w:val="00C32AC5"/>
    <w:rsid w:val="00C37E10"/>
    <w:rsid w:val="00C465A6"/>
    <w:rsid w:val="00C56E93"/>
    <w:rsid w:val="00C65C40"/>
    <w:rsid w:val="00C7095D"/>
    <w:rsid w:val="00C80753"/>
    <w:rsid w:val="00CA1BDC"/>
    <w:rsid w:val="00CB294C"/>
    <w:rsid w:val="00D60A97"/>
    <w:rsid w:val="00D62685"/>
    <w:rsid w:val="00D7370C"/>
    <w:rsid w:val="00D853B4"/>
    <w:rsid w:val="00DA5930"/>
    <w:rsid w:val="00DB3366"/>
    <w:rsid w:val="00DE40D8"/>
    <w:rsid w:val="00E1087C"/>
    <w:rsid w:val="00E1692A"/>
    <w:rsid w:val="00E223A1"/>
    <w:rsid w:val="00E24079"/>
    <w:rsid w:val="00E80B78"/>
    <w:rsid w:val="00E93B75"/>
    <w:rsid w:val="00EC6F31"/>
    <w:rsid w:val="00F11CA6"/>
    <w:rsid w:val="00F17F34"/>
    <w:rsid w:val="00F250EF"/>
    <w:rsid w:val="00F76AC3"/>
    <w:rsid w:val="00F933E9"/>
    <w:rsid w:val="00FB69F0"/>
    <w:rsid w:val="00FE2DF0"/>
    <w:rsid w:val="00FE7D4C"/>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AD5C7"/>
  <w14:defaultImageDpi w14:val="0"/>
  <w15:docId w15:val="{8CFB8E7E-E455-475E-92F7-6ADAB7F3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76611B"/>
    <w:rPr>
      <w:rFonts w:cs="Times New Roman"/>
      <w:color w:val="0563C1" w:themeColor="hyperlink"/>
      <w:u w:val="single"/>
    </w:rPr>
  </w:style>
  <w:style w:type="paragraph" w:styleId="11">
    <w:name w:val="toc 1"/>
    <w:basedOn w:val="a"/>
    <w:next w:val="a"/>
    <w:autoRedefine/>
    <w:uiPriority w:val="39"/>
    <w:unhideWhenUsed/>
    <w:rsid w:val="00E223A1"/>
  </w:style>
  <w:style w:type="paragraph" w:styleId="21">
    <w:name w:val="toc 2"/>
    <w:basedOn w:val="a"/>
    <w:next w:val="a"/>
    <w:autoRedefine/>
    <w:uiPriority w:val="39"/>
    <w:unhideWhenUsed/>
    <w:rsid w:val="00E223A1"/>
    <w:pPr>
      <w:ind w:left="200"/>
    </w:pPr>
  </w:style>
  <w:style w:type="character" w:customStyle="1" w:styleId="a6">
    <w:name w:val="Основной текст_"/>
    <w:link w:val="12"/>
    <w:locked/>
    <w:rsid w:val="00CA1BDC"/>
    <w:rPr>
      <w:rFonts w:ascii="Times New Roman" w:hAnsi="Times New Roman"/>
      <w:shd w:val="clear" w:color="auto" w:fill="FFFFFF"/>
    </w:rPr>
  </w:style>
  <w:style w:type="paragraph" w:customStyle="1" w:styleId="12">
    <w:name w:val="Основной текст1"/>
    <w:basedOn w:val="a"/>
    <w:link w:val="a6"/>
    <w:rsid w:val="00CA1BDC"/>
    <w:pPr>
      <w:shd w:val="clear" w:color="auto" w:fill="FFFFFF"/>
      <w:autoSpaceDE/>
      <w:autoSpaceDN/>
      <w:adjustRightInd/>
      <w:spacing w:before="0" w:after="0"/>
      <w:ind w:firstLine="400"/>
    </w:pPr>
    <w:rPr>
      <w:sz w:val="22"/>
      <w:szCs w:val="22"/>
    </w:rPr>
  </w:style>
  <w:style w:type="character" w:styleId="a7">
    <w:name w:val="FollowedHyperlink"/>
    <w:basedOn w:val="a0"/>
    <w:uiPriority w:val="99"/>
    <w:semiHidden/>
    <w:unhideWhenUsed/>
    <w:rsid w:val="00B46AC1"/>
    <w:rPr>
      <w:rFonts w:cs="Times New Roman"/>
      <w:color w:val="954F72" w:themeColor="followedHyperlink"/>
      <w:u w:val="single"/>
    </w:rPr>
  </w:style>
  <w:style w:type="character" w:styleId="a8">
    <w:name w:val="Emphasis"/>
    <w:basedOn w:val="a0"/>
    <w:uiPriority w:val="20"/>
    <w:qFormat/>
    <w:rsid w:val="00A25A15"/>
    <w:rPr>
      <w:rFonts w:cs="Times New Roman"/>
      <w:i/>
    </w:rPr>
  </w:style>
  <w:style w:type="paragraph" w:styleId="a9">
    <w:name w:val="Balloon Text"/>
    <w:basedOn w:val="a"/>
    <w:link w:val="aa"/>
    <w:uiPriority w:val="99"/>
    <w:semiHidden/>
    <w:unhideWhenUsed/>
    <w:rsid w:val="00C65C40"/>
    <w:pPr>
      <w:spacing w:before="0" w:after="0"/>
    </w:pPr>
    <w:rPr>
      <w:rFonts w:ascii="Segoe UI" w:hAnsi="Segoe UI" w:cs="Segoe UI"/>
      <w:sz w:val="18"/>
      <w:szCs w:val="18"/>
    </w:rPr>
  </w:style>
  <w:style w:type="character" w:customStyle="1" w:styleId="aa">
    <w:name w:val="Текст выноски Знак"/>
    <w:basedOn w:val="a0"/>
    <w:link w:val="a9"/>
    <w:uiPriority w:val="99"/>
    <w:semiHidden/>
    <w:rsid w:val="00C65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mesk.ru" TargetMode="External"/><Relationship Id="rId13" Type="http://schemas.openxmlformats.org/officeDocument/2006/relationships/hyperlink" Target="http://www.mesk.ru/raskrytie_informacyi/raskrytie_informatsii_emitentom/doc-166.php" TargetMode="External"/><Relationship Id="rId18" Type="http://schemas.openxmlformats.org/officeDocument/2006/relationships/hyperlink" Target="https://www.e-disclosure.ru/portal/files.aspx?id=5754&amp;type=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isclosure.ru/portal/company.aspx?id=5754" TargetMode="External"/><Relationship Id="rId17" Type="http://schemas.openxmlformats.org/officeDocument/2006/relationships/hyperlink" Target="https://www.e-disclosure.ru/portal/files.aspx?id=5754&amp;type=3" TargetMode="External"/><Relationship Id="rId2" Type="http://schemas.openxmlformats.org/officeDocument/2006/relationships/numbering" Target="numbering.xml"/><Relationship Id="rId16" Type="http://schemas.openxmlformats.org/officeDocument/2006/relationships/hyperlink" Target="https://e-disclosure.ru/portal/company.aspx?id=57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k.ru/raskrytie_informacyi/raskrytie_informatsii_emitentom/doc-166.php" TargetMode="External"/><Relationship Id="rId5" Type="http://schemas.openxmlformats.org/officeDocument/2006/relationships/webSettings" Target="webSettings.xml"/><Relationship Id="rId15" Type="http://schemas.openxmlformats.org/officeDocument/2006/relationships/hyperlink" Target="http://www.mesk.ru/raskrytie_informacyi/raskrytie_informatsii_emitentom/doc-166.php" TargetMode="External"/><Relationship Id="rId10" Type="http://schemas.openxmlformats.org/officeDocument/2006/relationships/hyperlink" Target="https://www.mesk.ru/raskrytie_informacyi/raskrytie_informatsii_emitentom/?SECTION_ID=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isclosure.ru/portal/files.aspx?id=5754&amp;type=5" TargetMode="External"/><Relationship Id="rId14" Type="http://schemas.openxmlformats.org/officeDocument/2006/relationships/hyperlink" Target="https://e-disclosure.ru/portal/company.aspx?id=5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5416-F9CF-44AC-8463-DB10FA97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70</Pages>
  <Words>36702</Words>
  <Characters>209202</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Зубанова Т.М.</dc:creator>
  <cp:keywords/>
  <dc:description/>
  <cp:lastModifiedBy>Анастасия</cp:lastModifiedBy>
  <cp:revision>2</cp:revision>
  <cp:lastPrinted>2025-04-25T11:56:00Z</cp:lastPrinted>
  <dcterms:created xsi:type="dcterms:W3CDTF">2025-05-05T04:30:00Z</dcterms:created>
  <dcterms:modified xsi:type="dcterms:W3CDTF">2025-05-05T04:30:00Z</dcterms:modified>
</cp:coreProperties>
</file>