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68376" w14:textId="77777777" w:rsidR="004F7BFA" w:rsidRDefault="004F7BFA"/>
    <w:p w14:paraId="143E3A75" w14:textId="77777777" w:rsidR="004F7BFA" w:rsidRDefault="004F7BFA"/>
    <w:p w14:paraId="32556642" w14:textId="77777777" w:rsidR="004F7BFA" w:rsidRDefault="004F7BFA">
      <w:pPr>
        <w:spacing w:before="960"/>
        <w:jc w:val="center"/>
        <w:rPr>
          <w:b/>
          <w:bCs/>
          <w:sz w:val="32"/>
          <w:szCs w:val="32"/>
        </w:rPr>
      </w:pPr>
      <w:r>
        <w:rPr>
          <w:b/>
          <w:bCs/>
          <w:sz w:val="32"/>
          <w:szCs w:val="32"/>
        </w:rPr>
        <w:t>ОТЧЕТ ЭМИТЕНТА ЭМИССИОННЫХ ЦЕННЫХ БУМАГ</w:t>
      </w:r>
    </w:p>
    <w:p w14:paraId="1140BDF5" w14:textId="77777777" w:rsidR="004F7BFA" w:rsidRDefault="004F7BFA">
      <w:pPr>
        <w:spacing w:before="600"/>
        <w:jc w:val="center"/>
        <w:rPr>
          <w:b/>
          <w:bCs/>
          <w:i/>
          <w:iCs/>
          <w:sz w:val="32"/>
          <w:szCs w:val="32"/>
        </w:rPr>
      </w:pPr>
      <w:r>
        <w:rPr>
          <w:b/>
          <w:bCs/>
          <w:i/>
          <w:iCs/>
          <w:sz w:val="32"/>
          <w:szCs w:val="32"/>
        </w:rPr>
        <w:t>Публичное акционерное общество "Ижсталь"</w:t>
      </w:r>
    </w:p>
    <w:p w14:paraId="7BC41A85" w14:textId="77777777" w:rsidR="004F7BFA" w:rsidRDefault="004F7BFA">
      <w:pPr>
        <w:spacing w:before="120"/>
        <w:jc w:val="center"/>
        <w:rPr>
          <w:b/>
          <w:bCs/>
          <w:i/>
          <w:iCs/>
          <w:sz w:val="28"/>
          <w:szCs w:val="28"/>
        </w:rPr>
      </w:pPr>
      <w:r>
        <w:rPr>
          <w:b/>
          <w:bCs/>
          <w:i/>
          <w:iCs/>
          <w:sz w:val="28"/>
          <w:szCs w:val="28"/>
        </w:rPr>
        <w:t>Код эмитента: 30078-D</w:t>
      </w:r>
    </w:p>
    <w:p w14:paraId="2D3A5B33" w14:textId="77777777" w:rsidR="004F7BFA" w:rsidRDefault="004F7BFA">
      <w:pPr>
        <w:spacing w:before="360"/>
        <w:jc w:val="center"/>
        <w:rPr>
          <w:b/>
          <w:bCs/>
          <w:sz w:val="32"/>
          <w:szCs w:val="32"/>
        </w:rPr>
      </w:pPr>
      <w:proofErr w:type="gramStart"/>
      <w:r>
        <w:rPr>
          <w:b/>
          <w:bCs/>
          <w:sz w:val="32"/>
          <w:szCs w:val="32"/>
        </w:rPr>
        <w:t>за  12</w:t>
      </w:r>
      <w:proofErr w:type="gramEnd"/>
      <w:r>
        <w:rPr>
          <w:b/>
          <w:bCs/>
          <w:sz w:val="32"/>
          <w:szCs w:val="32"/>
        </w:rPr>
        <w:t xml:space="preserve"> месяцев 2024 г.</w:t>
      </w:r>
    </w:p>
    <w:p w14:paraId="32C9892C" w14:textId="77777777" w:rsidR="004F7BFA" w:rsidRDefault="004F7BFA">
      <w:pPr>
        <w:spacing w:before="600" w:after="360"/>
        <w:jc w:val="center"/>
        <w:rPr>
          <w:b/>
          <w:bCs/>
          <w:sz w:val="24"/>
          <w:szCs w:val="24"/>
        </w:rPr>
      </w:pPr>
      <w:r>
        <w:rPr>
          <w:b/>
          <w:bCs/>
          <w:sz w:val="24"/>
          <w:szCs w:val="24"/>
        </w:rPr>
        <w:t>Информация, содержащаяся в настоящем отчете эмитента, подлежит раскрытию в соответствии с законодательством Российской Федерации о ценных бумагах</w:t>
      </w:r>
    </w:p>
    <w:p w14:paraId="78A0280F" w14:textId="77777777" w:rsidR="004F7BFA" w:rsidRDefault="004F7BFA"/>
    <w:tbl>
      <w:tblPr>
        <w:tblW w:w="0" w:type="auto"/>
        <w:tblLayout w:type="fixed"/>
        <w:tblCellMar>
          <w:left w:w="72" w:type="dxa"/>
          <w:right w:w="72" w:type="dxa"/>
        </w:tblCellMar>
        <w:tblLook w:val="0000" w:firstRow="0" w:lastRow="0" w:firstColumn="0" w:lastColumn="0" w:noHBand="0" w:noVBand="0"/>
      </w:tblPr>
      <w:tblGrid>
        <w:gridCol w:w="1892"/>
        <w:gridCol w:w="7360"/>
        <w:gridCol w:w="360"/>
      </w:tblGrid>
      <w:tr w:rsidR="004F7BFA" w14:paraId="66554DA5" w14:textId="77777777">
        <w:trPr>
          <w:gridAfter w:val="1"/>
          <w:wAfter w:w="360" w:type="dxa"/>
        </w:trPr>
        <w:tc>
          <w:tcPr>
            <w:tcW w:w="1892" w:type="dxa"/>
            <w:tcBorders>
              <w:top w:val="single" w:sz="6" w:space="0" w:color="auto"/>
              <w:left w:val="single" w:sz="6" w:space="0" w:color="auto"/>
              <w:bottom w:val="nil"/>
              <w:right w:val="nil"/>
            </w:tcBorders>
          </w:tcPr>
          <w:p w14:paraId="332DC7CD" w14:textId="77777777" w:rsidR="004F7BFA" w:rsidRDefault="004F7BFA">
            <w:r>
              <w:t>Адрес эмитента</w:t>
            </w:r>
          </w:p>
        </w:tc>
        <w:tc>
          <w:tcPr>
            <w:tcW w:w="7360" w:type="dxa"/>
            <w:tcBorders>
              <w:top w:val="single" w:sz="6" w:space="0" w:color="auto"/>
              <w:left w:val="nil"/>
              <w:bottom w:val="nil"/>
              <w:right w:val="single" w:sz="6" w:space="0" w:color="auto"/>
            </w:tcBorders>
          </w:tcPr>
          <w:p w14:paraId="7E56E327" w14:textId="77777777" w:rsidR="004F7BFA" w:rsidRDefault="004F7BFA">
            <w:pPr>
              <w:rPr>
                <w:b/>
                <w:bCs/>
              </w:rPr>
            </w:pPr>
            <w:r>
              <w:rPr>
                <w:b/>
                <w:bCs/>
              </w:rPr>
              <w:t>426006, Российская Федерация, Удмуртская Республика, г. Ижевск, ул. Новоажимова, 6</w:t>
            </w:r>
          </w:p>
        </w:tc>
      </w:tr>
      <w:tr w:rsidR="004F7BFA" w14:paraId="62BB5560" w14:textId="77777777">
        <w:tc>
          <w:tcPr>
            <w:tcW w:w="1892" w:type="dxa"/>
            <w:tcBorders>
              <w:top w:val="nil"/>
              <w:left w:val="single" w:sz="6" w:space="0" w:color="auto"/>
              <w:bottom w:val="single" w:sz="6" w:space="0" w:color="auto"/>
              <w:right w:val="nil"/>
            </w:tcBorders>
          </w:tcPr>
          <w:p w14:paraId="7190A428" w14:textId="77777777" w:rsidR="004F7BFA" w:rsidRDefault="004F7BFA">
            <w:r>
              <w:t>Контактное лицо эмитента</w:t>
            </w:r>
          </w:p>
        </w:tc>
        <w:tc>
          <w:tcPr>
            <w:tcW w:w="7360" w:type="dxa"/>
            <w:tcBorders>
              <w:top w:val="nil"/>
              <w:left w:val="nil"/>
              <w:bottom w:val="single" w:sz="6" w:space="0" w:color="auto"/>
              <w:right w:val="single" w:sz="6" w:space="0" w:color="auto"/>
            </w:tcBorders>
          </w:tcPr>
          <w:p w14:paraId="54F67DFA" w14:textId="77777777" w:rsidR="004F7BFA" w:rsidRDefault="004F7BFA">
            <w:r>
              <w:rPr>
                <w:b/>
                <w:bCs/>
              </w:rPr>
              <w:t>Лукьянчиков Сергей Сергеевич, Начальник отдела по правовым вопросам</w:t>
            </w:r>
          </w:p>
          <w:p w14:paraId="0F4BCBF2" w14:textId="77777777" w:rsidR="004F7BFA" w:rsidRDefault="004F7BFA">
            <w:r>
              <w:t>Телефон:</w:t>
            </w:r>
            <w:r>
              <w:rPr>
                <w:b/>
                <w:bCs/>
              </w:rPr>
              <w:t xml:space="preserve"> (3412) 91-04-37</w:t>
            </w:r>
          </w:p>
          <w:p w14:paraId="69DBBA82" w14:textId="77777777" w:rsidR="004F7BFA" w:rsidRDefault="004F7BFA">
            <w:pPr>
              <w:rPr>
                <w:b/>
                <w:bCs/>
              </w:rPr>
            </w:pPr>
            <w:r>
              <w:t>Адрес электронной почты:</w:t>
            </w:r>
            <w:r>
              <w:rPr>
                <w:b/>
                <w:bCs/>
              </w:rPr>
              <w:t xml:space="preserve"> lss@izhstal.ru</w:t>
            </w:r>
          </w:p>
        </w:tc>
        <w:tc>
          <w:tcPr>
            <w:tcW w:w="360" w:type="dxa"/>
          </w:tcPr>
          <w:p w14:paraId="2D8F04E3" w14:textId="77777777" w:rsidR="004F7BFA" w:rsidRDefault="004F7BFA"/>
        </w:tc>
      </w:tr>
    </w:tbl>
    <w:p w14:paraId="47C726B5" w14:textId="77777777" w:rsidR="004F7BFA" w:rsidRDefault="004F7BFA"/>
    <w:tbl>
      <w:tblPr>
        <w:tblW w:w="0" w:type="auto"/>
        <w:tblLayout w:type="fixed"/>
        <w:tblCellMar>
          <w:left w:w="72" w:type="dxa"/>
          <w:right w:w="72" w:type="dxa"/>
        </w:tblCellMar>
        <w:tblLook w:val="0000" w:firstRow="0" w:lastRow="0" w:firstColumn="0" w:lastColumn="0" w:noHBand="0" w:noVBand="0"/>
      </w:tblPr>
      <w:tblGrid>
        <w:gridCol w:w="1892"/>
        <w:gridCol w:w="7360"/>
      </w:tblGrid>
      <w:tr w:rsidR="004F7BFA" w14:paraId="69E26081" w14:textId="77777777">
        <w:tc>
          <w:tcPr>
            <w:tcW w:w="1892" w:type="dxa"/>
            <w:tcBorders>
              <w:top w:val="single" w:sz="6" w:space="0" w:color="auto"/>
              <w:left w:val="single" w:sz="6" w:space="0" w:color="auto"/>
              <w:bottom w:val="single" w:sz="6" w:space="0" w:color="auto"/>
              <w:right w:val="nil"/>
            </w:tcBorders>
          </w:tcPr>
          <w:p w14:paraId="3E24B7A2" w14:textId="77777777" w:rsidR="004F7BFA" w:rsidRDefault="004F7BFA">
            <w:r>
              <w:t>Адрес страницы в сети Интернет</w:t>
            </w:r>
          </w:p>
        </w:tc>
        <w:tc>
          <w:tcPr>
            <w:tcW w:w="7360" w:type="dxa"/>
            <w:tcBorders>
              <w:top w:val="single" w:sz="6" w:space="0" w:color="auto"/>
              <w:left w:val="nil"/>
              <w:bottom w:val="single" w:sz="6" w:space="0" w:color="auto"/>
              <w:right w:val="single" w:sz="6" w:space="0" w:color="auto"/>
            </w:tcBorders>
          </w:tcPr>
          <w:p w14:paraId="21A59F70" w14:textId="77777777" w:rsidR="004F7BFA" w:rsidRDefault="004F7BFA">
            <w:pPr>
              <w:rPr>
                <w:b/>
                <w:bCs/>
              </w:rPr>
            </w:pPr>
            <w:r>
              <w:rPr>
                <w:b/>
                <w:bCs/>
              </w:rPr>
              <w:t>www.izhstal.ru, http://www.e-disclosure.ru/portal/company.aspx?id=4089</w:t>
            </w:r>
          </w:p>
        </w:tc>
      </w:tr>
    </w:tbl>
    <w:p w14:paraId="2C9D2662" w14:textId="77777777" w:rsidR="004F7BFA" w:rsidRDefault="004F7BFA"/>
    <w:tbl>
      <w:tblPr>
        <w:tblW w:w="0" w:type="auto"/>
        <w:tblLayout w:type="fixed"/>
        <w:tblCellMar>
          <w:left w:w="72" w:type="dxa"/>
          <w:right w:w="72" w:type="dxa"/>
        </w:tblCellMar>
        <w:tblLook w:val="0000" w:firstRow="0" w:lastRow="0" w:firstColumn="0" w:lastColumn="0" w:noHBand="0" w:noVBand="0"/>
      </w:tblPr>
      <w:tblGrid>
        <w:gridCol w:w="5572"/>
        <w:gridCol w:w="3680"/>
      </w:tblGrid>
      <w:tr w:rsidR="004F7BFA" w14:paraId="243CE8C9" w14:textId="77777777">
        <w:tc>
          <w:tcPr>
            <w:tcW w:w="5572" w:type="dxa"/>
            <w:tcBorders>
              <w:top w:val="single" w:sz="6" w:space="0" w:color="auto"/>
              <w:left w:val="single" w:sz="6" w:space="0" w:color="auto"/>
              <w:bottom w:val="single" w:sz="6" w:space="0" w:color="auto"/>
              <w:right w:val="nil"/>
            </w:tcBorders>
          </w:tcPr>
          <w:p w14:paraId="23D63833" w14:textId="77777777" w:rsidR="004F7BFA" w:rsidRDefault="004F7BFA">
            <w:pPr>
              <w:spacing w:before="120"/>
            </w:pPr>
          </w:p>
          <w:p w14:paraId="6C36B1A6" w14:textId="77777777" w:rsidR="004F7BFA" w:rsidRDefault="004F7BFA">
            <w:pPr>
              <w:spacing w:before="200"/>
            </w:pPr>
            <w:r>
              <w:t>Генеральный директор</w:t>
            </w:r>
          </w:p>
          <w:p w14:paraId="094A2532" w14:textId="77777777" w:rsidR="004F7BFA" w:rsidRDefault="004F7BFA">
            <w:r>
              <w:t>Дата: 7 мая 2025 г.</w:t>
            </w:r>
          </w:p>
        </w:tc>
        <w:tc>
          <w:tcPr>
            <w:tcW w:w="3680" w:type="dxa"/>
            <w:tcBorders>
              <w:top w:val="single" w:sz="6" w:space="0" w:color="auto"/>
              <w:left w:val="nil"/>
              <w:bottom w:val="single" w:sz="6" w:space="0" w:color="auto"/>
              <w:right w:val="single" w:sz="6" w:space="0" w:color="auto"/>
            </w:tcBorders>
          </w:tcPr>
          <w:p w14:paraId="7C819440" w14:textId="77777777" w:rsidR="004F7BFA" w:rsidRDefault="004F7BFA"/>
          <w:p w14:paraId="12215815" w14:textId="77777777" w:rsidR="004F7BFA" w:rsidRDefault="004F7BFA">
            <w:pPr>
              <w:spacing w:before="200" w:after="200"/>
            </w:pPr>
            <w:r>
              <w:br/>
              <w:t>____________ С.М. Козённов</w:t>
            </w:r>
            <w:r>
              <w:br/>
              <w:t xml:space="preserve">    подпись</w:t>
            </w:r>
          </w:p>
        </w:tc>
      </w:tr>
    </w:tbl>
    <w:p w14:paraId="4FBB219D" w14:textId="77777777" w:rsidR="004F7BFA" w:rsidRDefault="004F7BFA"/>
    <w:p w14:paraId="59055F85" w14:textId="77777777" w:rsidR="004F7BFA" w:rsidRDefault="004F7BFA"/>
    <w:p w14:paraId="3E2E6934" w14:textId="77777777" w:rsidR="004F7BFA" w:rsidRDefault="004F7BFA">
      <w:pPr>
        <w:pStyle w:val="1"/>
      </w:pPr>
      <w:r>
        <w:br w:type="page"/>
      </w:r>
      <w:r>
        <w:lastRenderedPageBreak/>
        <w:t>Оглавление</w:t>
      </w:r>
    </w:p>
    <w:p w14:paraId="1586BB59" w14:textId="77777777" w:rsidR="004F7BFA" w:rsidRDefault="004F7BFA">
      <w:r>
        <w:fldChar w:fldCharType="begin"/>
      </w:r>
      <w:r>
        <w:instrText>TOC</w:instrText>
      </w:r>
      <w:r>
        <w:fldChar w:fldCharType="separate"/>
      </w:r>
      <w:r>
        <w:t>Раздел 1. Управленческий отчет эмитента</w:t>
      </w:r>
    </w:p>
    <w:p w14:paraId="6CCDF56F" w14:textId="77777777" w:rsidR="004F7BFA" w:rsidRDefault="004F7BFA">
      <w:r>
        <w:t xml:space="preserve">1.1. </w:t>
      </w:r>
      <w:r>
        <w:br/>
        <w:t>Общие сведения об эмитенте и его деятельности</w:t>
      </w:r>
    </w:p>
    <w:p w14:paraId="344D94B1" w14:textId="77777777" w:rsidR="004F7BFA" w:rsidRDefault="004F7BFA">
      <w:r>
        <w:t xml:space="preserve">1.2. </w:t>
      </w:r>
      <w:r>
        <w:br/>
        <w:t>Сведения о положении эмитента в отрасли</w:t>
      </w:r>
    </w:p>
    <w:p w14:paraId="1F4E1D66" w14:textId="77777777" w:rsidR="004F7BFA" w:rsidRDefault="004F7BFA">
      <w:r>
        <w:t xml:space="preserve">1.3. </w:t>
      </w:r>
      <w:r>
        <w:br/>
        <w:t>Основные операционные показатели, характеризующие деятельность эмитента</w:t>
      </w:r>
    </w:p>
    <w:p w14:paraId="12CA9664" w14:textId="77777777" w:rsidR="004F7BFA" w:rsidRDefault="004F7BFA">
      <w:r>
        <w:t xml:space="preserve">1.4. </w:t>
      </w:r>
      <w:r>
        <w:br/>
        <w:t>Основные финансовые показатели эмитента</w:t>
      </w:r>
    </w:p>
    <w:p w14:paraId="00F846FC" w14:textId="77777777" w:rsidR="004F7BFA" w:rsidRDefault="004F7BFA">
      <w:r>
        <w:t xml:space="preserve">1.5. </w:t>
      </w:r>
      <w:r>
        <w:br/>
        <w:t>Сведения об основных поставщиках эмитента</w:t>
      </w:r>
    </w:p>
    <w:p w14:paraId="4FC7DE0E" w14:textId="77777777" w:rsidR="004F7BFA" w:rsidRDefault="004F7BFA">
      <w:r>
        <w:t xml:space="preserve">1.6. </w:t>
      </w:r>
      <w:r>
        <w:br/>
        <w:t>Сведения об основных дебиторах эмитента</w:t>
      </w:r>
    </w:p>
    <w:p w14:paraId="419E94E1" w14:textId="77777777" w:rsidR="004F7BFA" w:rsidRDefault="004F7BFA">
      <w:r>
        <w:t xml:space="preserve">1.7. </w:t>
      </w:r>
      <w:r>
        <w:br/>
        <w:t>Сведения об обязательствах эмитента</w:t>
      </w:r>
    </w:p>
    <w:p w14:paraId="7BC26037" w14:textId="77777777" w:rsidR="004F7BFA" w:rsidRDefault="004F7BFA">
      <w:r>
        <w:t xml:space="preserve">1.8. </w:t>
      </w:r>
      <w:r>
        <w:br/>
        <w:t>Сведения о перспективах развития эмитента</w:t>
      </w:r>
    </w:p>
    <w:p w14:paraId="6AF20E12" w14:textId="77777777" w:rsidR="004F7BFA" w:rsidRDefault="004F7BFA">
      <w:r>
        <w:t xml:space="preserve">1.9. </w:t>
      </w:r>
      <w:r>
        <w:br/>
        <w:t>Сведения о рисках, связанных с деятельностью эмитента</w:t>
      </w:r>
    </w:p>
    <w:p w14:paraId="6312BE8D" w14:textId="77777777" w:rsidR="004F7BFA" w:rsidRDefault="004F7BFA">
      <w: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p>
    <w:p w14:paraId="6125045B" w14:textId="77777777" w:rsidR="004F7BFA" w:rsidRDefault="004F7BFA">
      <w:r>
        <w:t xml:space="preserve">2.1. </w:t>
      </w:r>
      <w:r>
        <w:br/>
        <w:t>Информация о лицах, входящих в состав органов управления эмитента</w:t>
      </w:r>
    </w:p>
    <w:p w14:paraId="64250ECB" w14:textId="77777777" w:rsidR="004F7BFA" w:rsidRDefault="004F7BFA">
      <w:r>
        <w:t xml:space="preserve">2.2. </w:t>
      </w:r>
      <w:r>
        <w:br/>
        <w:t>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p>
    <w:p w14:paraId="7CB5659F" w14:textId="77777777" w:rsidR="004F7BFA" w:rsidRDefault="004F7BFA">
      <w:r>
        <w:t xml:space="preserve">2.3. </w:t>
      </w:r>
      <w:r>
        <w:br/>
        <w:t>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p>
    <w:p w14:paraId="560889D5" w14:textId="77777777" w:rsidR="004F7BFA" w:rsidRDefault="004F7BFA">
      <w:r>
        <w:t xml:space="preserve">2.4. </w:t>
      </w:r>
      <w:r>
        <w:br/>
        <w:t>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p>
    <w:p w14:paraId="209CA100" w14:textId="77777777" w:rsidR="004F7BFA" w:rsidRDefault="004F7BFA">
      <w:r>
        <w:t xml:space="preserve">2.5. </w:t>
      </w:r>
      <w:r>
        <w:br/>
        <w:t>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p>
    <w:p w14:paraId="33D930B4" w14:textId="77777777" w:rsidR="004F7BFA" w:rsidRDefault="004F7BFA">
      <w: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p>
    <w:p w14:paraId="2E2E299B" w14:textId="77777777" w:rsidR="004F7BFA" w:rsidRDefault="004F7BFA">
      <w:r>
        <w:t xml:space="preserve">3.1. </w:t>
      </w:r>
      <w:r>
        <w:br/>
        <w:t>Сведения об общем количестве акционеров (участников, членов) эмитента</w:t>
      </w:r>
    </w:p>
    <w:p w14:paraId="3BFEEC56" w14:textId="77777777" w:rsidR="004F7BFA" w:rsidRDefault="004F7BFA">
      <w:r>
        <w:t xml:space="preserve">3.2. </w:t>
      </w:r>
      <w:r>
        <w:br/>
        <w:t>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p>
    <w:p w14:paraId="3DBD6E97" w14:textId="77777777" w:rsidR="004F7BFA" w:rsidRDefault="004F7BFA">
      <w:r>
        <w:t xml:space="preserve">3.3. </w:t>
      </w:r>
      <w:r>
        <w:br/>
        <w:t>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p>
    <w:p w14:paraId="27487E68" w14:textId="77777777" w:rsidR="004F7BFA" w:rsidRDefault="004F7BFA">
      <w:r>
        <w:t xml:space="preserve">3.4. </w:t>
      </w:r>
      <w:r>
        <w:br/>
        <w:t>Сделки эмитента, в совершении которых имелась заинтересованность</w:t>
      </w:r>
    </w:p>
    <w:p w14:paraId="232636AC" w14:textId="77777777" w:rsidR="004F7BFA" w:rsidRDefault="004F7BFA">
      <w:r>
        <w:t xml:space="preserve">3.5. </w:t>
      </w:r>
      <w:r>
        <w:br/>
        <w:t>Крупные сделки эмитента</w:t>
      </w:r>
    </w:p>
    <w:p w14:paraId="0C0C24A0" w14:textId="77777777" w:rsidR="004F7BFA" w:rsidRDefault="004F7BFA">
      <w:r>
        <w:t>Раздел 4. Дополнительные сведения об эмитенте и о размещенных им ценных бумагах</w:t>
      </w:r>
    </w:p>
    <w:p w14:paraId="48E5D42F" w14:textId="77777777" w:rsidR="004F7BFA" w:rsidRDefault="004F7BFA">
      <w:r>
        <w:t xml:space="preserve">4.1. </w:t>
      </w:r>
      <w:r>
        <w:br/>
        <w:t>Подконтрольные эмитенту организации, имеющие для него существенное значение</w:t>
      </w:r>
    </w:p>
    <w:p w14:paraId="3409E28C" w14:textId="77777777" w:rsidR="004F7BFA" w:rsidRDefault="004F7BFA">
      <w:r>
        <w:lastRenderedPageBreak/>
        <w:t xml:space="preserve">4.2. </w:t>
      </w:r>
      <w:r>
        <w:br/>
        <w:t>Дополнительные сведения, раскрываемые эмитентами зеленых облигаций, социальных облигаций, облигаций устойчивого развития, адаптационных облигаций</w:t>
      </w:r>
    </w:p>
    <w:p w14:paraId="7A44D5AB" w14:textId="77777777" w:rsidR="004F7BFA" w:rsidRDefault="004F7BFA">
      <w:r>
        <w:t xml:space="preserve">4.2(1). </w:t>
      </w:r>
      <w:r>
        <w:br/>
        <w:t>Дополнительные сведения, раскрываемые эмитентами инфраструктурных облигаций</w:t>
      </w:r>
    </w:p>
    <w:p w14:paraId="3DC605E5" w14:textId="77777777" w:rsidR="004F7BFA" w:rsidRDefault="004F7BFA">
      <w:r>
        <w:t xml:space="preserve">4.2(2). </w:t>
      </w:r>
      <w:r>
        <w:br/>
        <w:t>Дополнительные сведения, раскрываемые эмитентами облигаций, связанных с целями устойчивого развития</w:t>
      </w:r>
    </w:p>
    <w:p w14:paraId="70DCF6EF" w14:textId="77777777" w:rsidR="004F7BFA" w:rsidRDefault="004F7BFA">
      <w:r>
        <w:t xml:space="preserve">4.2(3). </w:t>
      </w:r>
      <w:r>
        <w:br/>
        <w:t>Дополнительные сведения, раскрываемые эмитентами облигаций климатического перехода</w:t>
      </w:r>
    </w:p>
    <w:p w14:paraId="67FA195F" w14:textId="77777777" w:rsidR="004F7BFA" w:rsidRDefault="004F7BFA">
      <w:r>
        <w:t xml:space="preserve">4.3. </w:t>
      </w:r>
      <w:r>
        <w:b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14:paraId="00AC36BE" w14:textId="77777777" w:rsidR="004F7BFA" w:rsidRDefault="004F7BFA">
      <w:r>
        <w:t xml:space="preserve">4.4. </w:t>
      </w:r>
      <w:r>
        <w:br/>
        <w:t>Сведения об объявленных и выплаченных дивидендах по акциям эмитента</w:t>
      </w:r>
    </w:p>
    <w:p w14:paraId="69BCD9B5" w14:textId="77777777" w:rsidR="004F7BFA" w:rsidRDefault="004F7BFA">
      <w:r>
        <w:t xml:space="preserve">4.5. </w:t>
      </w:r>
      <w:r>
        <w:br/>
        <w:t>Сведения об организациях, осуществляющих учет прав на эмиссионные ценные бумаги эмитента</w:t>
      </w:r>
    </w:p>
    <w:p w14:paraId="0CF8E7EC" w14:textId="77777777" w:rsidR="004F7BFA" w:rsidRDefault="004F7BFA">
      <w:r>
        <w:t xml:space="preserve">4.6. </w:t>
      </w:r>
      <w:r>
        <w:br/>
        <w:t>Информация об аудиторе эмитента</w:t>
      </w:r>
    </w:p>
    <w:p w14:paraId="43E60EA4" w14:textId="77777777" w:rsidR="004F7BFA" w:rsidRDefault="004F7BFA">
      <w:r>
        <w:t>Раздел 5. Консолидированная финансовая отчетность (финансовая отчетность), бухгалтерская (финансовая) отчетность эмитента</w:t>
      </w:r>
    </w:p>
    <w:p w14:paraId="6BCC9579" w14:textId="77777777" w:rsidR="004F7BFA" w:rsidRDefault="004F7BFA">
      <w:r>
        <w:t xml:space="preserve">5.1. </w:t>
      </w:r>
      <w:r>
        <w:br/>
        <w:t>Консолидированная финансовая отчетность (финансовая отчетность) эмитента</w:t>
      </w:r>
    </w:p>
    <w:p w14:paraId="228F3261" w14:textId="77777777" w:rsidR="004F7BFA" w:rsidRDefault="004F7BFA">
      <w:r>
        <w:t xml:space="preserve">5.2. </w:t>
      </w:r>
      <w:r>
        <w:br/>
        <w:t>Бухгалтерская (финансовая) отчетность</w:t>
      </w:r>
    </w:p>
    <w:p w14:paraId="6A8C6A9C" w14:textId="77777777" w:rsidR="004F7BFA" w:rsidRDefault="004F7BFA">
      <w:pPr>
        <w:pStyle w:val="1"/>
      </w:pPr>
      <w:r>
        <w:fldChar w:fldCharType="end"/>
      </w:r>
      <w:r>
        <w:br w:type="page"/>
      </w:r>
      <w:r>
        <w:lastRenderedPageBreak/>
        <w:t>Введение</w:t>
      </w:r>
    </w:p>
    <w:p w14:paraId="27E2C56E" w14:textId="77777777" w:rsidR="004F7BFA" w:rsidRPr="002419E5" w:rsidRDefault="004F7BFA" w:rsidP="001946E4">
      <w:pPr>
        <w:pStyle w:val="SubHeading"/>
      </w:pPr>
      <w:r w:rsidRPr="002419E5">
        <w:t>Основания возникновения у эмитента обязанности осуществлять раскрытие информации в форме отчета эмитента</w:t>
      </w:r>
    </w:p>
    <w:p w14:paraId="41BCCFDF" w14:textId="77777777" w:rsidR="004F7BFA" w:rsidRPr="002419E5" w:rsidRDefault="004F7BFA">
      <w:pPr>
        <w:ind w:left="200"/>
      </w:pPr>
      <w:r w:rsidRPr="002419E5">
        <w:rPr>
          <w:rStyle w:val="Subst"/>
          <w:bCs/>
          <w:iCs/>
        </w:rPr>
        <w:t>Эмитент является акционерным обществом, созданным при приватизации государственных и/или муниципальных предприятий (их подразделений), и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была предусмотрена возможность отчуждения акций эмитента более чем 500 приобретателям либо неограниченному кругу лиц</w:t>
      </w:r>
    </w:p>
    <w:p w14:paraId="037F7FB9" w14:textId="77777777" w:rsidR="004F7BFA" w:rsidRPr="002419E5" w:rsidRDefault="004F7BFA">
      <w:pPr>
        <w:ind w:left="200"/>
      </w:pPr>
      <w:r w:rsidRPr="002419E5">
        <w:rPr>
          <w:rStyle w:val="Subst"/>
          <w:bCs/>
          <w:iCs/>
        </w:rPr>
        <w:t>Эмитент является публичным акционерным обществом</w:t>
      </w:r>
    </w:p>
    <w:p w14:paraId="4D538A4A" w14:textId="77777777" w:rsidR="004F7BFA" w:rsidRPr="002419E5" w:rsidRDefault="004F7BFA">
      <w:r w:rsidRPr="002419E5">
        <w:t>Сведения об отчетности, которая (ссылка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w:t>
      </w:r>
    </w:p>
    <w:p w14:paraId="18ED078F" w14:textId="77777777" w:rsidR="001946E4" w:rsidRPr="002419E5" w:rsidRDefault="001946E4" w:rsidP="001946E4">
      <w:pPr>
        <w:pStyle w:val="ThinDelim"/>
        <w:rPr>
          <w:rStyle w:val="Subst"/>
          <w:sz w:val="20"/>
          <w:szCs w:val="20"/>
        </w:rPr>
      </w:pPr>
      <w:r w:rsidRPr="002419E5">
        <w:rPr>
          <w:rStyle w:val="Subst"/>
          <w:sz w:val="20"/>
          <w:szCs w:val="20"/>
        </w:rPr>
        <w:t xml:space="preserve">Информация о финансово-хозяйственной деятельности раскрывается на основании Консолидированной финансовой отчетности за год, закончившийся 31 декабря 2024 г., c заключением независимого аудитора. </w:t>
      </w:r>
    </w:p>
    <w:p w14:paraId="5847C826" w14:textId="77777777" w:rsidR="001946E4" w:rsidRPr="002419E5" w:rsidRDefault="001946E4" w:rsidP="001946E4">
      <w:pPr>
        <w:pStyle w:val="ThinDelim"/>
        <w:rPr>
          <w:rStyle w:val="Subst"/>
          <w:sz w:val="20"/>
          <w:szCs w:val="20"/>
        </w:rPr>
      </w:pPr>
      <w:r w:rsidRPr="002419E5">
        <w:rPr>
          <w:rStyle w:val="Subst"/>
          <w:sz w:val="20"/>
          <w:szCs w:val="20"/>
        </w:rPr>
        <w:t>Указанная отчетность ПАО «Ижсталь» публично не раскрывалась по основаниям, предусмотренным законодательством РФ.</w:t>
      </w:r>
    </w:p>
    <w:p w14:paraId="54D6336B" w14:textId="77777777" w:rsidR="001946E4" w:rsidRPr="002419E5" w:rsidRDefault="001946E4" w:rsidP="001946E4">
      <w:pPr>
        <w:pStyle w:val="ThinDelim"/>
        <w:rPr>
          <w:rStyle w:val="Subst"/>
          <w:sz w:val="20"/>
          <w:szCs w:val="20"/>
        </w:rPr>
      </w:pPr>
      <w:r w:rsidRPr="002419E5">
        <w:rPr>
          <w:rStyle w:val="Subst"/>
          <w:sz w:val="20"/>
          <w:szCs w:val="20"/>
        </w:rPr>
        <w:t xml:space="preserve">Обобщенная консолидированная финансовая отчетность за год, закончившийся 31 декабря 2024 г., </w:t>
      </w:r>
    </w:p>
    <w:p w14:paraId="387F7301" w14:textId="77777777" w:rsidR="001946E4" w:rsidRPr="002419E5" w:rsidRDefault="001946E4" w:rsidP="001946E4">
      <w:pPr>
        <w:pStyle w:val="ThinDelim"/>
        <w:rPr>
          <w:rStyle w:val="Subst"/>
          <w:sz w:val="20"/>
          <w:szCs w:val="20"/>
        </w:rPr>
      </w:pPr>
      <w:r w:rsidRPr="002419E5">
        <w:rPr>
          <w:rStyle w:val="Subst"/>
          <w:sz w:val="20"/>
          <w:szCs w:val="20"/>
        </w:rPr>
        <w:t>c заключением независимого аудитора опубликована на странице в сети Интернет: www.e-disclosure.ru/</w:t>
      </w:r>
      <w:proofErr w:type="spellStart"/>
      <w:r w:rsidRPr="002419E5">
        <w:rPr>
          <w:rStyle w:val="Subst"/>
          <w:sz w:val="20"/>
          <w:szCs w:val="20"/>
        </w:rPr>
        <w:t>portal</w:t>
      </w:r>
      <w:proofErr w:type="spellEnd"/>
      <w:r w:rsidRPr="002419E5">
        <w:rPr>
          <w:rStyle w:val="Subst"/>
          <w:sz w:val="20"/>
          <w:szCs w:val="20"/>
        </w:rPr>
        <w:t>/</w:t>
      </w:r>
      <w:proofErr w:type="spellStart"/>
      <w:r w:rsidRPr="002419E5">
        <w:rPr>
          <w:rStyle w:val="Subst"/>
          <w:sz w:val="20"/>
          <w:szCs w:val="20"/>
        </w:rPr>
        <w:t>files.aspx?id</w:t>
      </w:r>
      <w:proofErr w:type="spellEnd"/>
      <w:r w:rsidRPr="002419E5">
        <w:rPr>
          <w:rStyle w:val="Subst"/>
          <w:sz w:val="20"/>
          <w:szCs w:val="20"/>
        </w:rPr>
        <w:t>=4089&amp;type=4.</w:t>
      </w:r>
    </w:p>
    <w:p w14:paraId="5E2EE2E5" w14:textId="77777777" w:rsidR="004F7BFA" w:rsidRPr="002419E5" w:rsidRDefault="004F7BFA">
      <w:pPr>
        <w:pStyle w:val="ThinDelim"/>
      </w:pPr>
    </w:p>
    <w:p w14:paraId="47C34E2C" w14:textId="77777777" w:rsidR="004F7BFA" w:rsidRPr="002419E5" w:rsidRDefault="004F7BFA">
      <w:r w:rsidRPr="002419E5">
        <w:t>Информация о финансово-хозяйственной деятельности эмитента отражает его деятельность в качестве организации, которая вместе с другими организациями в соответствии с МСФО определяется как группа.</w:t>
      </w:r>
    </w:p>
    <w:p w14:paraId="2A9AC5CD" w14:textId="77777777" w:rsidR="004F7BFA" w:rsidRPr="002419E5" w:rsidRDefault="004F7BFA">
      <w:r w:rsidRPr="002419E5">
        <w:t>Консолидированная финансовая отчетность, 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представление о деятельности эмитента, а также об основных рисках, связанных с его деятельностью.</w:t>
      </w:r>
    </w:p>
    <w:p w14:paraId="0EA31ED2" w14:textId="77777777" w:rsidR="004F7BFA" w:rsidRPr="002419E5" w:rsidRDefault="004F7BFA">
      <w:r w:rsidRPr="002419E5">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r w:rsidRPr="002419E5">
        <w:b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14:paraId="22E20D7F" w14:textId="77777777" w:rsidR="004F7BFA" w:rsidRPr="002419E5" w:rsidRDefault="004F7BFA">
      <w:r w:rsidRPr="002419E5">
        <w:t>Иная информация, которая, по мнению эмитента, будет полезна для заинтересованных лиц при принятии ими экономических решений:</w:t>
      </w:r>
      <w:r w:rsidRPr="002419E5">
        <w:br/>
      </w:r>
      <w:r w:rsidRPr="002419E5">
        <w:rPr>
          <w:rStyle w:val="Subst"/>
          <w:bCs/>
          <w:iCs/>
        </w:rPr>
        <w:t>Далее по тексту настоящего отчета термины "Эмитент", "Общество" и "Компания" относятся к Публичному акционерному обществу "Ижсталь" и его дочернему обществу, образующими Группу.</w:t>
      </w:r>
    </w:p>
    <w:p w14:paraId="552C853F" w14:textId="77777777" w:rsidR="004F7BFA" w:rsidRPr="002419E5" w:rsidRDefault="004F7BFA">
      <w:pPr>
        <w:pStyle w:val="1"/>
      </w:pPr>
      <w:r w:rsidRPr="002419E5">
        <w:t>Раздел 1. Управленческий отчет эмитента</w:t>
      </w:r>
    </w:p>
    <w:p w14:paraId="2800A000" w14:textId="77777777" w:rsidR="004F7BFA" w:rsidRPr="002419E5" w:rsidRDefault="004F7BFA">
      <w:pPr>
        <w:pStyle w:val="2"/>
      </w:pPr>
      <w:r w:rsidRPr="002419E5">
        <w:t>1.1. Общие сведения об эмитенте и его деятельности</w:t>
      </w:r>
    </w:p>
    <w:p w14:paraId="3B06D8DF" w14:textId="77777777" w:rsidR="004F7BFA" w:rsidRPr="002419E5" w:rsidRDefault="004F7BFA">
      <w:pPr>
        <w:ind w:left="200"/>
      </w:pPr>
      <w:r w:rsidRPr="002419E5">
        <w:t>Полное фирменное наименование эмитента:</w:t>
      </w:r>
      <w:r w:rsidRPr="002419E5">
        <w:rPr>
          <w:rStyle w:val="Subst"/>
          <w:bCs/>
          <w:iCs/>
        </w:rPr>
        <w:t xml:space="preserve"> Публичное акционерное общество "Ижсталь"</w:t>
      </w:r>
    </w:p>
    <w:p w14:paraId="10BAB7AF" w14:textId="77777777" w:rsidR="004F7BFA" w:rsidRPr="002419E5" w:rsidRDefault="004F7BFA">
      <w:pPr>
        <w:ind w:left="200"/>
      </w:pPr>
      <w:r w:rsidRPr="002419E5">
        <w:t>Сокращенное фирменное наименование эмитента:</w:t>
      </w:r>
      <w:r w:rsidRPr="002419E5">
        <w:rPr>
          <w:rStyle w:val="Subst"/>
          <w:bCs/>
          <w:iCs/>
        </w:rPr>
        <w:t xml:space="preserve"> ПАО "Ижсталь"</w:t>
      </w:r>
    </w:p>
    <w:p w14:paraId="662571CA" w14:textId="77777777" w:rsidR="004F7BFA" w:rsidRPr="002419E5" w:rsidRDefault="004F7BFA">
      <w:pPr>
        <w:ind w:left="200"/>
      </w:pPr>
    </w:p>
    <w:p w14:paraId="458B3B95" w14:textId="77777777" w:rsidR="004F7BFA" w:rsidRPr="002419E5" w:rsidRDefault="004F7BFA">
      <w:pPr>
        <w:ind w:left="200"/>
      </w:pPr>
      <w:r w:rsidRPr="002419E5">
        <w:rPr>
          <w:rStyle w:val="Subst"/>
          <w:bCs/>
          <w:iCs/>
        </w:rPr>
        <w:t>В уставе эмитента зарегистрировано наименование на иностранном языке</w:t>
      </w:r>
    </w:p>
    <w:p w14:paraId="09799DDF" w14:textId="77777777" w:rsidR="004F7BFA" w:rsidRPr="002419E5" w:rsidRDefault="004F7BFA">
      <w:pPr>
        <w:pStyle w:val="SubHeading"/>
        <w:ind w:left="200"/>
      </w:pPr>
      <w:r w:rsidRPr="002419E5">
        <w:t>Наименования эмитента на иностранном языке</w:t>
      </w:r>
    </w:p>
    <w:p w14:paraId="19AA2637" w14:textId="77777777" w:rsidR="004F7BFA" w:rsidRPr="002419E5" w:rsidRDefault="004F7BFA">
      <w:pPr>
        <w:ind w:left="400"/>
      </w:pPr>
      <w:r w:rsidRPr="002419E5">
        <w:t>Наименование эмитента на иностранном языке:</w:t>
      </w:r>
      <w:r w:rsidRPr="002419E5">
        <w:rPr>
          <w:rStyle w:val="Subst"/>
          <w:bCs/>
          <w:iCs/>
        </w:rPr>
        <w:t xml:space="preserve"> Izhstal PАО</w:t>
      </w:r>
    </w:p>
    <w:p w14:paraId="2F88DA48" w14:textId="77777777" w:rsidR="004F7BFA" w:rsidRPr="002419E5" w:rsidRDefault="004F7BFA">
      <w:pPr>
        <w:ind w:left="400"/>
      </w:pPr>
    </w:p>
    <w:p w14:paraId="302ACEE1" w14:textId="77777777" w:rsidR="004F7BFA" w:rsidRPr="002419E5" w:rsidRDefault="004F7BFA">
      <w:pPr>
        <w:ind w:left="200"/>
      </w:pPr>
      <w:r w:rsidRPr="002419E5">
        <w:t>Место нахождения эмитента:</w:t>
      </w:r>
      <w:r w:rsidRPr="002419E5">
        <w:rPr>
          <w:rStyle w:val="Subst"/>
          <w:bCs/>
          <w:iCs/>
        </w:rPr>
        <w:t xml:space="preserve"> 426006, Удмуртская Республика, г. Ижевск, ул. Новоажимова, д. 6.</w:t>
      </w:r>
    </w:p>
    <w:p w14:paraId="754F5597" w14:textId="77777777" w:rsidR="004F7BFA" w:rsidRPr="002419E5" w:rsidRDefault="004F7BFA">
      <w:pPr>
        <w:ind w:left="200"/>
      </w:pPr>
      <w:r w:rsidRPr="002419E5">
        <w:lastRenderedPageBreak/>
        <w:t>Адрес эмитента:</w:t>
      </w:r>
      <w:r w:rsidRPr="002419E5">
        <w:rPr>
          <w:rStyle w:val="Subst"/>
          <w:bCs/>
          <w:iCs/>
        </w:rPr>
        <w:t xml:space="preserve"> 426006, Российская Федерация, Удмуртская Республика, г. Ижевск, ул. Новоажимова, 6</w:t>
      </w:r>
    </w:p>
    <w:p w14:paraId="7F938979" w14:textId="77777777" w:rsidR="004F7BFA" w:rsidRPr="002419E5" w:rsidRDefault="004F7BFA">
      <w:pPr>
        <w:ind w:left="200"/>
      </w:pPr>
      <w:r w:rsidRPr="002419E5">
        <w:t>Сведения о способе создания эмитента:</w:t>
      </w:r>
      <w:r w:rsidRPr="002419E5">
        <w:br/>
      </w:r>
      <w:r w:rsidRPr="002419E5">
        <w:rPr>
          <w:rStyle w:val="Subst"/>
          <w:bCs/>
          <w:iCs/>
        </w:rPr>
        <w:t>Трудовым коллективом ПО "Ижсталь" на конференции 23.09.1992 г. большинством голосов было принято решение о приватизации предприятия по первому варианту льгот. В соответствии с Указом Президента Российской Федерации от 01.07.1992 г. № 721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распоряжения Государственного комитета РФ № 2199-р от 23.08.1994 г. и решения № 318-п от 10.05.1995 г. Государственного комитета Удмуртской Республики по управлению государственным имуществом учреждено акционерное общество открытого типа "Ижсталь", созданное на базе производственного объединения "Ижсталь".</w:t>
      </w:r>
    </w:p>
    <w:p w14:paraId="5A0DDE77" w14:textId="77777777" w:rsidR="004F7BFA" w:rsidRPr="002419E5" w:rsidRDefault="004F7BFA">
      <w:pPr>
        <w:ind w:left="200"/>
      </w:pPr>
      <w:r w:rsidRPr="002419E5">
        <w:t>Дата создания эмитента:</w:t>
      </w:r>
      <w:r w:rsidRPr="002419E5">
        <w:rPr>
          <w:rStyle w:val="Subst"/>
          <w:bCs/>
          <w:iCs/>
        </w:rPr>
        <w:t xml:space="preserve"> 18.05.1995</w:t>
      </w:r>
    </w:p>
    <w:p w14:paraId="611C70A4" w14:textId="77777777" w:rsidR="004F7BFA" w:rsidRPr="002419E5" w:rsidRDefault="004F7BFA">
      <w:pPr>
        <w:pStyle w:val="SubHeading"/>
        <w:ind w:left="200"/>
      </w:pPr>
      <w:r w:rsidRPr="002419E5">
        <w:t>Все предшествующие наименования эмитента в течение трех последних лет, предшествующих дате окончания отчетного периода, за который составлен отчет эмитента</w:t>
      </w:r>
    </w:p>
    <w:p w14:paraId="1B1A359F" w14:textId="77777777" w:rsidR="004F7BFA" w:rsidRPr="002419E5" w:rsidRDefault="004F7BFA">
      <w:pPr>
        <w:ind w:left="400"/>
      </w:pPr>
      <w:r w:rsidRPr="002419E5">
        <w:rPr>
          <w:rStyle w:val="Subst"/>
          <w:bCs/>
          <w:iCs/>
        </w:rPr>
        <w:t>Наименования эмитента в течение трех последних лет, предшествующих дате окончания отчетного периода, за который составлен отчет эмитента, не изменялись</w:t>
      </w:r>
    </w:p>
    <w:p w14:paraId="5787D9C5" w14:textId="77777777" w:rsidR="004F7BFA" w:rsidRPr="002419E5" w:rsidRDefault="004F7BFA">
      <w:pPr>
        <w:ind w:left="200"/>
      </w:pPr>
      <w:r w:rsidRPr="002419E5">
        <w:rPr>
          <w:rStyle w:val="Subst"/>
          <w:bCs/>
          <w:iCs/>
        </w:rPr>
        <w:t>Реорганизации эмитента в течение трех последних лет, предшествующих дате окончания отчетного периода, за который составлен отчет эмитента, не осуществлялись</w:t>
      </w:r>
    </w:p>
    <w:p w14:paraId="11BA3F93" w14:textId="77777777" w:rsidR="004F7BFA" w:rsidRPr="002419E5" w:rsidRDefault="004F7BFA">
      <w:pPr>
        <w:ind w:left="200"/>
      </w:pPr>
      <w:r w:rsidRPr="002419E5">
        <w:t>Основной государственный регистрационный номер (ОГРН):</w:t>
      </w:r>
      <w:r w:rsidRPr="002419E5">
        <w:rPr>
          <w:rStyle w:val="Subst"/>
          <w:bCs/>
          <w:iCs/>
        </w:rPr>
        <w:t xml:space="preserve"> 1021801435325</w:t>
      </w:r>
    </w:p>
    <w:p w14:paraId="3125982F" w14:textId="77777777" w:rsidR="004F7BFA" w:rsidRPr="002419E5" w:rsidRDefault="004F7BFA">
      <w:pPr>
        <w:ind w:left="200"/>
      </w:pPr>
      <w:r w:rsidRPr="002419E5">
        <w:t>ИНН:</w:t>
      </w:r>
      <w:r w:rsidRPr="002419E5">
        <w:rPr>
          <w:rStyle w:val="Subst"/>
          <w:bCs/>
          <w:iCs/>
        </w:rPr>
        <w:t xml:space="preserve"> 1826000655</w:t>
      </w:r>
    </w:p>
    <w:p w14:paraId="0A4C1C3E" w14:textId="77777777" w:rsidR="004F7BFA" w:rsidRPr="002419E5" w:rsidRDefault="004F7BFA">
      <w:pPr>
        <w:ind w:left="200"/>
      </w:pPr>
    </w:p>
    <w:p w14:paraId="24E42FD8" w14:textId="77777777" w:rsidR="004F7BFA" w:rsidRPr="002419E5" w:rsidRDefault="004F7BFA">
      <w:pPr>
        <w:ind w:left="200"/>
      </w:pPr>
      <w:r w:rsidRPr="002419E5">
        <w:t>Краткое описание финансово-хозяйственной деятельности, операционных сегментов и географии осуществления финансово-хозяйственной деятельности группы эмитента:</w:t>
      </w:r>
      <w:r w:rsidRPr="002419E5">
        <w:br/>
      </w:r>
      <w:r w:rsidR="00491845" w:rsidRPr="002419E5">
        <w:rPr>
          <w:rStyle w:val="Subst"/>
        </w:rPr>
        <w:t>Компания представляет собой крупнейшее металлургическое предприятие Удмуртской Республики.</w:t>
      </w:r>
      <w:r w:rsidR="00672421" w:rsidRPr="002419E5">
        <w:rPr>
          <w:rStyle w:val="Subst"/>
          <w:bCs/>
          <w:iCs/>
        </w:rPr>
        <w:t xml:space="preserve"> Реализация металлопродукции производится практически на всей территории Российской Федерации, а также на экспорт.</w:t>
      </w:r>
      <w:r w:rsidR="00491845" w:rsidRPr="002419E5">
        <w:rPr>
          <w:rStyle w:val="Subst"/>
        </w:rPr>
        <w:br/>
        <w:t>Компания выпускает сортовой и калиброванный прокат, холоднокатаную ленту, стальные фасонные профили высокой точности.</w:t>
      </w:r>
      <w:r w:rsidR="00491845" w:rsidRPr="002419E5">
        <w:rPr>
          <w:rStyle w:val="Subst"/>
        </w:rPr>
        <w:br/>
        <w:t>Потребителями продукции являются предприятия нефтяной, горнодобывающей промышленностей, инструментальные заводы и другие.</w:t>
      </w:r>
      <w:r w:rsidR="00491845" w:rsidRPr="002419E5">
        <w:rPr>
          <w:rStyle w:val="Subst"/>
        </w:rPr>
        <w:br/>
        <w:t>Система менеджмента качества ПАО "Ижсталь" имеет сертификат соответствия международному стандарту ИСО 9001:2015</w:t>
      </w:r>
      <w:r w:rsidRPr="002419E5">
        <w:rPr>
          <w:rStyle w:val="Subst"/>
          <w:bCs/>
          <w:iCs/>
        </w:rPr>
        <w:t>.</w:t>
      </w:r>
    </w:p>
    <w:p w14:paraId="2F6FCA59" w14:textId="5FBC8EC6" w:rsidR="00491845" w:rsidRPr="002419E5" w:rsidRDefault="004F7BFA" w:rsidP="00672421">
      <w:pPr>
        <w:ind w:left="200"/>
      </w:pPr>
      <w:r w:rsidRPr="002419E5">
        <w:t>Краткая характеристика группы эмитента:</w:t>
      </w:r>
      <w:r w:rsidRPr="002419E5">
        <w:br/>
      </w:r>
      <w:r w:rsidR="00491845" w:rsidRPr="002419E5">
        <w:rPr>
          <w:rStyle w:val="Subst"/>
        </w:rPr>
        <w:t>Основная деятельность Группы связана с производством сортового горячекатаного проката и катанки, стали в слитках, стальных прутков, профилей (методом холодного волочения) и прочей металлопродукции, а также оказанием транспортных и сопутствующих услуг. Группа представляет свою отчетность как единый операционный сегмент</w:t>
      </w:r>
      <w:r w:rsidRPr="002419E5">
        <w:rPr>
          <w:rStyle w:val="Subst"/>
          <w:bCs/>
          <w:iCs/>
        </w:rPr>
        <w:t>.</w:t>
      </w:r>
    </w:p>
    <w:p w14:paraId="6EB27D6A" w14:textId="77777777" w:rsidR="004F7BFA" w:rsidRPr="002419E5" w:rsidRDefault="004F7BFA">
      <w:pPr>
        <w:ind w:left="200"/>
      </w:pPr>
      <w:r w:rsidRPr="002419E5">
        <w:t>Общее число организаций, составляющих группу эмитента:</w:t>
      </w:r>
      <w:r w:rsidRPr="002419E5">
        <w:rPr>
          <w:rStyle w:val="Subst"/>
          <w:bCs/>
          <w:iCs/>
        </w:rPr>
        <w:t xml:space="preserve"> 2</w:t>
      </w:r>
    </w:p>
    <w:p w14:paraId="5082377B" w14:textId="77777777" w:rsidR="004F7BFA" w:rsidRPr="002419E5" w:rsidRDefault="004F7BFA">
      <w:pPr>
        <w:ind w:left="200"/>
      </w:pPr>
      <w:r w:rsidRPr="002419E5">
        <w:t>Информация о личных законах организаций, входящих в группу эмитента:</w:t>
      </w:r>
    </w:p>
    <w:p w14:paraId="2E9739C9" w14:textId="77777777" w:rsidR="004F7BFA" w:rsidRPr="002419E5" w:rsidRDefault="004F7BFA">
      <w:pPr>
        <w:ind w:left="200"/>
      </w:pPr>
      <w:r w:rsidRPr="002419E5">
        <w:rPr>
          <w:rStyle w:val="Subst"/>
          <w:bCs/>
          <w:iCs/>
        </w:rPr>
        <w:t>Не применимо в связи с тем, что в группу эмитента не входят организации – нерезиденты.</w:t>
      </w:r>
    </w:p>
    <w:p w14:paraId="16AAB94D" w14:textId="77777777" w:rsidR="004F7BFA" w:rsidRPr="002419E5" w:rsidRDefault="004F7BFA">
      <w:pPr>
        <w:pStyle w:val="SubHeading"/>
        <w:ind w:left="200"/>
      </w:pPr>
      <w:r w:rsidRPr="002419E5">
        <w:t>Иные ограничения, связанные с участием в уставном капитале эмитента, установленные его уставом</w:t>
      </w:r>
    </w:p>
    <w:p w14:paraId="2E9382EF" w14:textId="77777777" w:rsidR="004F7BFA" w:rsidRPr="002419E5" w:rsidRDefault="004F7BFA">
      <w:pPr>
        <w:ind w:left="400"/>
      </w:pPr>
      <w:r w:rsidRPr="002419E5">
        <w:rPr>
          <w:rStyle w:val="Subst"/>
          <w:bCs/>
          <w:iCs/>
        </w:rPr>
        <w:t>Ограничений на участие в уставном капитале эмитента нет</w:t>
      </w:r>
    </w:p>
    <w:p w14:paraId="6C12DAFF" w14:textId="77777777" w:rsidR="004F7BFA" w:rsidRPr="002419E5" w:rsidRDefault="004F7BFA">
      <w:pPr>
        <w:ind w:left="200"/>
      </w:pPr>
      <w:r w:rsidRPr="002419E5">
        <w:t>Иная информация, которая, по мнению эмитента, является существенной для получения заинтересованными лицами общего представления об эмитенте и его финансово-хозяйственной деятельности</w:t>
      </w:r>
    </w:p>
    <w:p w14:paraId="2A68501D" w14:textId="77777777" w:rsidR="00491845" w:rsidRPr="002419E5" w:rsidRDefault="00491845" w:rsidP="00491845">
      <w:pPr>
        <w:ind w:left="200"/>
        <w:rPr>
          <w:rStyle w:val="Subst"/>
          <w:bCs/>
          <w:iCs/>
        </w:rPr>
      </w:pPr>
      <w:r w:rsidRPr="002419E5">
        <w:rPr>
          <w:b/>
          <w:i/>
        </w:rPr>
        <w:t>Отсутствует.</w:t>
      </w:r>
      <w:r w:rsidRPr="002419E5">
        <w:rPr>
          <w:rStyle w:val="Subst"/>
        </w:rPr>
        <w:t xml:space="preserve"> </w:t>
      </w:r>
    </w:p>
    <w:p w14:paraId="681717BB" w14:textId="77777777" w:rsidR="004F7BFA" w:rsidRPr="002419E5" w:rsidRDefault="004F7BFA">
      <w:pPr>
        <w:pStyle w:val="2"/>
      </w:pPr>
      <w:r w:rsidRPr="002419E5">
        <w:t>1.2. Сведения о положении эмитента в отрасли</w:t>
      </w:r>
    </w:p>
    <w:p w14:paraId="58F66029" w14:textId="77777777" w:rsidR="00251F37" w:rsidRPr="002419E5" w:rsidRDefault="004F7BFA" w:rsidP="00251F37">
      <w:pPr>
        <w:spacing w:before="0" w:after="0"/>
        <w:ind w:left="198"/>
        <w:rPr>
          <w:rStyle w:val="Subst"/>
          <w:bCs/>
          <w:iCs/>
        </w:rPr>
      </w:pPr>
      <w:r w:rsidRPr="002419E5">
        <w:rPr>
          <w:rStyle w:val="Subst"/>
          <w:bCs/>
          <w:iCs/>
        </w:rPr>
        <w:t xml:space="preserve">1) </w:t>
      </w:r>
      <w:r w:rsidR="00251F37" w:rsidRPr="002419E5">
        <w:rPr>
          <w:rStyle w:val="Subst"/>
          <w:bCs/>
          <w:iCs/>
        </w:rPr>
        <w:t>Общая характеристика отрасли, в которой осуществляют деятельность организации группы эмитента.</w:t>
      </w:r>
    </w:p>
    <w:p w14:paraId="7ED3EF10" w14:textId="77777777" w:rsidR="00251F37" w:rsidRPr="002419E5" w:rsidRDefault="00251F37" w:rsidP="00251F37">
      <w:pPr>
        <w:spacing w:before="0" w:after="0"/>
        <w:ind w:left="198"/>
        <w:rPr>
          <w:rStyle w:val="Subst"/>
          <w:bCs/>
          <w:iCs/>
        </w:rPr>
      </w:pPr>
      <w:r w:rsidRPr="002419E5">
        <w:rPr>
          <w:rStyle w:val="Subst"/>
          <w:bCs/>
          <w:iCs/>
        </w:rPr>
        <w:t>ПАО "Ижсталь" является предприятием полного производственного цикла и относится к металлургической отрасли промышленности, основной продукцией которой являются сплавы, металлопрокат и различные металлоизделия</w:t>
      </w:r>
      <w:r w:rsidR="004F7BFA" w:rsidRPr="002419E5">
        <w:rPr>
          <w:rStyle w:val="Subst"/>
          <w:bCs/>
          <w:iCs/>
        </w:rPr>
        <w:t xml:space="preserve">. </w:t>
      </w:r>
      <w:r w:rsidR="004F7BFA" w:rsidRPr="002419E5">
        <w:rPr>
          <w:rStyle w:val="Subst"/>
          <w:bCs/>
          <w:iCs/>
        </w:rPr>
        <w:br/>
      </w:r>
    </w:p>
    <w:p w14:paraId="238747C7" w14:textId="77777777" w:rsidR="00251F37" w:rsidRPr="002419E5" w:rsidRDefault="004F7BFA" w:rsidP="00251F37">
      <w:pPr>
        <w:spacing w:before="0" w:after="0"/>
        <w:ind w:left="198"/>
        <w:rPr>
          <w:rStyle w:val="Subst"/>
          <w:bCs/>
          <w:iCs/>
        </w:rPr>
      </w:pPr>
      <w:r w:rsidRPr="002419E5">
        <w:rPr>
          <w:rStyle w:val="Subst"/>
          <w:bCs/>
          <w:iCs/>
        </w:rPr>
        <w:t xml:space="preserve">2) </w:t>
      </w:r>
      <w:r w:rsidR="00251F37" w:rsidRPr="002419E5">
        <w:rPr>
          <w:rStyle w:val="Subst"/>
          <w:bCs/>
          <w:iCs/>
        </w:rPr>
        <w:t>Сведения о структуре отрасли и темпах ее развития, основных тенденциях развития, а также основных факторах, оказывающих влияние на ее состояние.</w:t>
      </w:r>
    </w:p>
    <w:p w14:paraId="17D966A7" w14:textId="77777777" w:rsidR="00251F37" w:rsidRPr="002419E5" w:rsidRDefault="00251F37" w:rsidP="00251F37">
      <w:pPr>
        <w:spacing w:before="0" w:after="0"/>
        <w:ind w:left="198"/>
        <w:rPr>
          <w:rStyle w:val="Subst"/>
          <w:bCs/>
          <w:iCs/>
        </w:rPr>
      </w:pPr>
      <w:r w:rsidRPr="002419E5">
        <w:rPr>
          <w:rStyle w:val="Subst"/>
          <w:bCs/>
          <w:iCs/>
        </w:rPr>
        <w:lastRenderedPageBreak/>
        <w:t xml:space="preserve">В структуру металлургической промышленности входят следующие процессы: непосредственное производство металлов; горячая и холодная обработка металлических изделий; сварка; нанесение металлических покрытий. </w:t>
      </w:r>
    </w:p>
    <w:p w14:paraId="0A43C17B" w14:textId="77777777" w:rsidR="00251F37" w:rsidRPr="002419E5" w:rsidRDefault="00251F37" w:rsidP="00251F37">
      <w:pPr>
        <w:spacing w:before="0" w:after="0"/>
        <w:ind w:left="198"/>
        <w:rPr>
          <w:rStyle w:val="Subst"/>
          <w:bCs/>
          <w:iCs/>
        </w:rPr>
      </w:pPr>
      <w:r w:rsidRPr="002419E5">
        <w:rPr>
          <w:rStyle w:val="Subst"/>
          <w:bCs/>
          <w:iCs/>
        </w:rPr>
        <w:t xml:space="preserve">Металлургическая промышленность является одной из важнейших отраслей экономики. Она является системообразующей для таких областей как: строительство, машиностроение, судостроение, авиастроение автомобилестроение, трубное производство и многих других сфер. Развитие металлургической промышленности зависит от следующих факторов: </w:t>
      </w:r>
    </w:p>
    <w:p w14:paraId="6462309F" w14:textId="77777777" w:rsidR="00251F37" w:rsidRPr="002419E5" w:rsidRDefault="00251F37" w:rsidP="00251F37">
      <w:pPr>
        <w:spacing w:before="0" w:after="0"/>
        <w:ind w:left="198"/>
        <w:rPr>
          <w:rStyle w:val="Subst"/>
          <w:bCs/>
          <w:iCs/>
        </w:rPr>
      </w:pPr>
      <w:r w:rsidRPr="002419E5">
        <w:rPr>
          <w:rStyle w:val="Subst"/>
          <w:bCs/>
          <w:iCs/>
        </w:rPr>
        <w:t xml:space="preserve">- Объемы производства металлургической продукции и потребления при сохранении тенденции к их увеличению. </w:t>
      </w:r>
    </w:p>
    <w:p w14:paraId="25F032A8" w14:textId="77777777" w:rsidR="00251F37" w:rsidRPr="002419E5" w:rsidRDefault="00251F37" w:rsidP="00251F37">
      <w:pPr>
        <w:spacing w:before="0" w:after="0"/>
        <w:ind w:left="198"/>
        <w:rPr>
          <w:rStyle w:val="Subst"/>
          <w:bCs/>
          <w:iCs/>
        </w:rPr>
      </w:pPr>
      <w:r w:rsidRPr="002419E5">
        <w:rPr>
          <w:rStyle w:val="Subst"/>
          <w:bCs/>
          <w:iCs/>
        </w:rPr>
        <w:t>- Импортные поставки.</w:t>
      </w:r>
    </w:p>
    <w:p w14:paraId="0AD42A48" w14:textId="77777777" w:rsidR="00251F37" w:rsidRPr="002419E5" w:rsidRDefault="00251F37" w:rsidP="00251F37">
      <w:pPr>
        <w:spacing w:before="0" w:after="0"/>
        <w:ind w:left="198"/>
        <w:rPr>
          <w:rStyle w:val="Subst"/>
          <w:bCs/>
          <w:iCs/>
        </w:rPr>
      </w:pPr>
      <w:r w:rsidRPr="002419E5">
        <w:rPr>
          <w:rStyle w:val="Subst"/>
          <w:bCs/>
          <w:iCs/>
        </w:rPr>
        <w:t>- Экспорт части продукции.</w:t>
      </w:r>
    </w:p>
    <w:p w14:paraId="0866B811" w14:textId="77777777" w:rsidR="00251F37" w:rsidRPr="002419E5" w:rsidRDefault="00251F37" w:rsidP="00251F37">
      <w:pPr>
        <w:spacing w:before="0" w:after="0"/>
        <w:ind w:left="198"/>
        <w:rPr>
          <w:rStyle w:val="Subst"/>
          <w:bCs/>
          <w:iCs/>
        </w:rPr>
      </w:pPr>
      <w:r w:rsidRPr="002419E5">
        <w:rPr>
          <w:rStyle w:val="Subst"/>
          <w:bCs/>
          <w:iCs/>
        </w:rPr>
        <w:t>- Ресурсосбережение, сведение к минимуму вреда для окружающей среды. Удорожание энергоресурсов и ужесточение требований к охране внешней среды.</w:t>
      </w:r>
    </w:p>
    <w:p w14:paraId="67B02895" w14:textId="77777777" w:rsidR="00251F37" w:rsidRPr="002419E5" w:rsidRDefault="00251F37" w:rsidP="00251F37">
      <w:pPr>
        <w:spacing w:before="0" w:after="0"/>
        <w:ind w:left="198"/>
        <w:rPr>
          <w:rStyle w:val="Subst"/>
          <w:bCs/>
          <w:iCs/>
        </w:rPr>
      </w:pPr>
      <w:r w:rsidRPr="002419E5">
        <w:rPr>
          <w:rStyle w:val="Subst"/>
          <w:bCs/>
          <w:iCs/>
        </w:rPr>
        <w:t>- Достижение высокого качества продукции в сочетании с совершенствованием сортамента.</w:t>
      </w:r>
    </w:p>
    <w:p w14:paraId="6C11D61C" w14:textId="77777777" w:rsidR="00251F37" w:rsidRPr="002419E5" w:rsidRDefault="00251F37" w:rsidP="00251F37">
      <w:pPr>
        <w:spacing w:before="0" w:after="0"/>
        <w:ind w:left="198"/>
        <w:rPr>
          <w:rStyle w:val="Subst"/>
          <w:bCs/>
          <w:iCs/>
        </w:rPr>
      </w:pPr>
      <w:r w:rsidRPr="002419E5">
        <w:rPr>
          <w:rStyle w:val="Subst"/>
          <w:bCs/>
          <w:iCs/>
        </w:rPr>
        <w:t xml:space="preserve">Основной перспективой в развитии является соответствие используемых мощностей требованиям внутреннего и мирового рынков. При этом оценивается как качественная, так и количественная составляющая. </w:t>
      </w:r>
    </w:p>
    <w:p w14:paraId="034FE54A" w14:textId="77777777" w:rsidR="00251F37" w:rsidRPr="002419E5" w:rsidRDefault="00251F37" w:rsidP="00251F37">
      <w:pPr>
        <w:spacing w:before="0" w:after="0"/>
        <w:ind w:left="198"/>
        <w:rPr>
          <w:rStyle w:val="Subst"/>
          <w:bCs/>
          <w:iCs/>
        </w:rPr>
      </w:pPr>
      <w:r w:rsidRPr="002419E5">
        <w:rPr>
          <w:rStyle w:val="Subst"/>
          <w:bCs/>
          <w:iCs/>
        </w:rPr>
        <w:t>Также развитие определяется за счет реализации современных технологий. Осуществление данной задачи позволяет повышать конкурентоспособность. При таком подходе спрос на металл возрастает, особенно внутри страны</w:t>
      </w:r>
      <w:r w:rsidR="004F7BFA" w:rsidRPr="002419E5">
        <w:rPr>
          <w:rStyle w:val="Subst"/>
          <w:bCs/>
          <w:iCs/>
        </w:rPr>
        <w:t>.</w:t>
      </w:r>
      <w:r w:rsidR="004F7BFA" w:rsidRPr="002419E5">
        <w:rPr>
          <w:rStyle w:val="Subst"/>
          <w:bCs/>
          <w:iCs/>
        </w:rPr>
        <w:br/>
      </w:r>
      <w:r w:rsidR="004F7BFA" w:rsidRPr="002419E5">
        <w:rPr>
          <w:rStyle w:val="Subst"/>
          <w:bCs/>
          <w:iCs/>
        </w:rPr>
        <w:br/>
        <w:t xml:space="preserve">3) Общая оценка результатов финансово-хозяйственной деятельности эмитента (группы эмитента) в данной отрасли. </w:t>
      </w:r>
      <w:r w:rsidR="004F7BFA" w:rsidRPr="002419E5">
        <w:rPr>
          <w:rStyle w:val="Subst"/>
          <w:bCs/>
          <w:iCs/>
        </w:rPr>
        <w:br/>
        <w:t xml:space="preserve">В 2024 году реализация ПАО "Ижсталь" в общем объеме по отрасли остается </w:t>
      </w:r>
      <w:r w:rsidR="00197E16" w:rsidRPr="002419E5">
        <w:rPr>
          <w:rStyle w:val="Subst"/>
          <w:bCs/>
          <w:iCs/>
        </w:rPr>
        <w:t>на прежнем</w:t>
      </w:r>
      <w:r w:rsidR="004F7BFA" w:rsidRPr="002419E5">
        <w:rPr>
          <w:rStyle w:val="Subst"/>
          <w:bCs/>
          <w:iCs/>
        </w:rPr>
        <w:t xml:space="preserve"> уровне. </w:t>
      </w:r>
      <w:r w:rsidR="004F7BFA" w:rsidRPr="002419E5">
        <w:rPr>
          <w:rStyle w:val="Subst"/>
          <w:bCs/>
          <w:iCs/>
        </w:rPr>
        <w:br/>
      </w:r>
      <w:r w:rsidR="004F7BFA" w:rsidRPr="002419E5">
        <w:rPr>
          <w:rStyle w:val="Subst"/>
          <w:bCs/>
          <w:iCs/>
        </w:rPr>
        <w:br/>
        <w:t xml:space="preserve">4) </w:t>
      </w:r>
      <w:r w:rsidRPr="002419E5">
        <w:rPr>
          <w:rStyle w:val="Subst"/>
          <w:bCs/>
          <w:iCs/>
        </w:rPr>
        <w:t>Доля эмитента (группы эмитента) в объеме реализации аналогичной продукции иными предприятиями отрасли или иные фактические показатели, характеризующие положение эмитента (группы эмитента) в отрасли в целом.</w:t>
      </w:r>
    </w:p>
    <w:p w14:paraId="2B1BF7C3" w14:textId="77777777" w:rsidR="00251F37" w:rsidRPr="002419E5" w:rsidRDefault="00251F37" w:rsidP="00251F37">
      <w:pPr>
        <w:spacing w:before="0" w:after="0"/>
        <w:ind w:left="198"/>
        <w:rPr>
          <w:rStyle w:val="Subst"/>
          <w:bCs/>
          <w:iCs/>
        </w:rPr>
      </w:pPr>
      <w:r w:rsidRPr="002419E5">
        <w:rPr>
          <w:rStyle w:val="Subst"/>
          <w:bCs/>
          <w:iCs/>
        </w:rPr>
        <w:t>Доля производства и поставки сортового проката на внутреннем рынке составляет 10%</w:t>
      </w:r>
      <w:r w:rsidR="004F7BFA" w:rsidRPr="002419E5">
        <w:rPr>
          <w:rStyle w:val="Subst"/>
          <w:bCs/>
          <w:iCs/>
        </w:rPr>
        <w:t>.</w:t>
      </w:r>
      <w:r w:rsidR="004F7BFA" w:rsidRPr="002419E5">
        <w:rPr>
          <w:rStyle w:val="Subst"/>
          <w:bCs/>
          <w:iCs/>
        </w:rPr>
        <w:br/>
      </w:r>
    </w:p>
    <w:p w14:paraId="6AFCD04D" w14:textId="77777777" w:rsidR="00251F37" w:rsidRPr="002419E5" w:rsidRDefault="004F7BFA" w:rsidP="00251F37">
      <w:pPr>
        <w:spacing w:before="0" w:after="0"/>
        <w:ind w:left="198"/>
        <w:rPr>
          <w:rStyle w:val="Subst"/>
          <w:bCs/>
          <w:iCs/>
        </w:rPr>
      </w:pPr>
      <w:r w:rsidRPr="002419E5">
        <w:rPr>
          <w:rStyle w:val="Subst"/>
          <w:bCs/>
          <w:iCs/>
        </w:rPr>
        <w:t xml:space="preserve">5) Приводится оценка соответствия результатов деятельности эмитента (группы эмитента) тенденциям развития отрасли. </w:t>
      </w:r>
      <w:r w:rsidRPr="002419E5">
        <w:rPr>
          <w:rStyle w:val="Subst"/>
          <w:bCs/>
          <w:iCs/>
        </w:rPr>
        <w:br/>
        <w:t>По данным Росстата в 2024 году производство металлопроката в РФ снизилось на 7,2%</w:t>
      </w:r>
      <w:r w:rsidRPr="002419E5">
        <w:rPr>
          <w:rStyle w:val="Subst"/>
          <w:bCs/>
          <w:iCs/>
        </w:rPr>
        <w:br/>
      </w:r>
    </w:p>
    <w:p w14:paraId="7FD0105B" w14:textId="77777777" w:rsidR="00251F37" w:rsidRPr="002419E5" w:rsidRDefault="004F7BFA" w:rsidP="00251F37">
      <w:pPr>
        <w:spacing w:before="0" w:after="0"/>
        <w:ind w:left="198"/>
        <w:rPr>
          <w:rStyle w:val="Subst"/>
          <w:bCs/>
          <w:iCs/>
        </w:rPr>
      </w:pPr>
      <w:r w:rsidRPr="002419E5">
        <w:rPr>
          <w:rStyle w:val="Subst"/>
          <w:bCs/>
          <w:iCs/>
        </w:rPr>
        <w:t xml:space="preserve">6) Указываются причины, обосновывающие полученные результаты деятельности (удовлетворительные и неудовлетворительные, по мнению эмитента, результаты). </w:t>
      </w:r>
      <w:r w:rsidRPr="002419E5">
        <w:rPr>
          <w:rStyle w:val="Subst"/>
          <w:bCs/>
          <w:iCs/>
        </w:rPr>
        <w:br/>
        <w:t>Результаты деятельности ПАО «Ижсталь» за 12 месяцев 2024 года удовлетворительные.</w:t>
      </w:r>
      <w:r w:rsidRPr="002419E5">
        <w:rPr>
          <w:rStyle w:val="Subst"/>
          <w:bCs/>
          <w:iCs/>
        </w:rPr>
        <w:br/>
        <w:t xml:space="preserve">Наблюдается снижение объема поставок на экспорт в связи с введенными санкциями и переориентация на российский рынок. </w:t>
      </w:r>
    </w:p>
    <w:p w14:paraId="6C1072F5" w14:textId="77777777" w:rsidR="00251F37" w:rsidRPr="002419E5" w:rsidRDefault="004F7BFA" w:rsidP="00251F37">
      <w:pPr>
        <w:spacing w:before="0" w:after="0"/>
        <w:ind w:left="198"/>
        <w:rPr>
          <w:rStyle w:val="Subst"/>
          <w:bCs/>
          <w:iCs/>
        </w:rPr>
      </w:pPr>
      <w:r w:rsidRPr="002419E5">
        <w:rPr>
          <w:rStyle w:val="Subst"/>
          <w:bCs/>
          <w:iCs/>
        </w:rPr>
        <w:br/>
        <w:t>7) Сведения об основных конкурентах эмитента (группы эмитента), сопоставляются сильные и слабые стороны эмитента (группы эмитента) в сравнении с ними).</w:t>
      </w:r>
      <w:r w:rsidRPr="002419E5">
        <w:rPr>
          <w:rStyle w:val="Subst"/>
          <w:bCs/>
          <w:iCs/>
        </w:rPr>
        <w:br/>
        <w:t>Основные конкуренты ПАО «Ижсталь»:</w:t>
      </w:r>
      <w:r w:rsidRPr="002419E5">
        <w:rPr>
          <w:rStyle w:val="Subst"/>
          <w:bCs/>
          <w:iCs/>
        </w:rPr>
        <w:br/>
        <w:t>Оскольский электрометаллургический комбинат (ОЭМК)</w:t>
      </w:r>
      <w:r w:rsidRPr="002419E5">
        <w:rPr>
          <w:rStyle w:val="Subst"/>
          <w:bCs/>
          <w:iCs/>
        </w:rPr>
        <w:br/>
      </w:r>
      <w:proofErr w:type="spellStart"/>
      <w:r w:rsidRPr="002419E5">
        <w:rPr>
          <w:rStyle w:val="Subst"/>
          <w:bCs/>
          <w:iCs/>
        </w:rPr>
        <w:t>Надеждинский</w:t>
      </w:r>
      <w:proofErr w:type="spellEnd"/>
      <w:r w:rsidRPr="002419E5">
        <w:rPr>
          <w:rStyle w:val="Subst"/>
          <w:bCs/>
          <w:iCs/>
        </w:rPr>
        <w:t xml:space="preserve"> металлургический завод</w:t>
      </w:r>
      <w:r w:rsidRPr="002419E5">
        <w:rPr>
          <w:rStyle w:val="Subst"/>
          <w:bCs/>
          <w:iCs/>
        </w:rPr>
        <w:br/>
        <w:t>ЕВРАЗ</w:t>
      </w:r>
      <w:r w:rsidRPr="002419E5">
        <w:rPr>
          <w:rStyle w:val="Subst"/>
          <w:bCs/>
          <w:iCs/>
        </w:rPr>
        <w:br/>
        <w:t>Магнитогорский метизно-калибровочный завод (ММК-МЕТИЗ)</w:t>
      </w:r>
      <w:r w:rsidRPr="002419E5">
        <w:rPr>
          <w:rStyle w:val="Subst"/>
          <w:bCs/>
          <w:iCs/>
        </w:rPr>
        <w:br/>
        <w:t>Волгоградский металлургический завод (Красный Октябрь)</w:t>
      </w:r>
      <w:r w:rsidRPr="002419E5">
        <w:rPr>
          <w:rStyle w:val="Subst"/>
          <w:bCs/>
          <w:iCs/>
        </w:rPr>
        <w:br/>
        <w:t>Северсталь</w:t>
      </w:r>
      <w:r w:rsidRPr="002419E5">
        <w:rPr>
          <w:rStyle w:val="Subst"/>
          <w:bCs/>
          <w:iCs/>
        </w:rPr>
        <w:br/>
        <w:t>ООО Златоустовский Металлургический Завод</w:t>
      </w:r>
      <w:r w:rsidRPr="002419E5">
        <w:rPr>
          <w:rStyle w:val="Subst"/>
          <w:bCs/>
          <w:iCs/>
        </w:rPr>
        <w:br/>
        <w:t>АО "Металлургический завод "Электросталь"</w:t>
      </w:r>
      <w:r w:rsidRPr="002419E5">
        <w:rPr>
          <w:rStyle w:val="Subst"/>
          <w:bCs/>
          <w:iCs/>
        </w:rPr>
        <w:br/>
        <w:t>ОАО Белорусский металлургический завод</w:t>
      </w:r>
      <w:r w:rsidRPr="002419E5">
        <w:rPr>
          <w:rStyle w:val="Subst"/>
          <w:bCs/>
          <w:iCs/>
        </w:rPr>
        <w:br/>
      </w:r>
      <w:r w:rsidRPr="002419E5">
        <w:rPr>
          <w:rStyle w:val="Subst"/>
          <w:bCs/>
          <w:iCs/>
        </w:rPr>
        <w:br/>
        <w:t>Сильные стороны ПАО «Ижсталь» в сравнении с конкурентами:</w:t>
      </w:r>
      <w:r w:rsidRPr="002419E5">
        <w:rPr>
          <w:rStyle w:val="Subst"/>
          <w:bCs/>
          <w:iCs/>
        </w:rPr>
        <w:br/>
      </w:r>
      <w:r w:rsidR="00251F37" w:rsidRPr="002419E5">
        <w:rPr>
          <w:rStyle w:val="Subst"/>
          <w:bCs/>
          <w:iCs/>
        </w:rPr>
        <w:t>- широкая номенклатура выпускаемой продукции;</w:t>
      </w:r>
    </w:p>
    <w:p w14:paraId="4E17239A" w14:textId="77777777" w:rsidR="00251F37" w:rsidRPr="002419E5" w:rsidRDefault="00251F37" w:rsidP="00251F37">
      <w:pPr>
        <w:spacing w:before="0" w:after="0"/>
        <w:ind w:left="198"/>
        <w:rPr>
          <w:rStyle w:val="Subst"/>
          <w:bCs/>
          <w:iCs/>
        </w:rPr>
      </w:pPr>
      <w:r w:rsidRPr="002419E5">
        <w:rPr>
          <w:rStyle w:val="Subst"/>
          <w:bCs/>
          <w:iCs/>
        </w:rPr>
        <w:t>- сильные позиции по некоторым маркам стали и профилям производимого проката;</w:t>
      </w:r>
    </w:p>
    <w:p w14:paraId="68BDBBDC" w14:textId="77777777" w:rsidR="00251F37" w:rsidRPr="002419E5" w:rsidRDefault="00251F37" w:rsidP="00251F37">
      <w:pPr>
        <w:spacing w:before="0" w:after="0"/>
        <w:ind w:left="198"/>
        <w:rPr>
          <w:rStyle w:val="Subst"/>
          <w:bCs/>
          <w:iCs/>
        </w:rPr>
      </w:pPr>
      <w:r w:rsidRPr="002419E5">
        <w:rPr>
          <w:rStyle w:val="Subst"/>
          <w:bCs/>
          <w:iCs/>
        </w:rPr>
        <w:t xml:space="preserve">- минимальные нормы изготовления на каждую размещаемую </w:t>
      </w:r>
      <w:proofErr w:type="spellStart"/>
      <w:r w:rsidRPr="002419E5">
        <w:rPr>
          <w:rStyle w:val="Subst"/>
          <w:bCs/>
          <w:iCs/>
        </w:rPr>
        <w:t>заказопозицию</w:t>
      </w:r>
      <w:proofErr w:type="spellEnd"/>
      <w:r w:rsidRPr="002419E5">
        <w:rPr>
          <w:rStyle w:val="Subst"/>
          <w:bCs/>
          <w:iCs/>
        </w:rPr>
        <w:t>;</w:t>
      </w:r>
    </w:p>
    <w:p w14:paraId="51DCDCDC" w14:textId="77777777" w:rsidR="004F7BFA" w:rsidRPr="002419E5" w:rsidRDefault="00251F37" w:rsidP="00251F37">
      <w:pPr>
        <w:spacing w:before="0" w:after="0"/>
        <w:ind w:left="198"/>
      </w:pPr>
      <w:r w:rsidRPr="002419E5">
        <w:rPr>
          <w:rStyle w:val="Subst"/>
          <w:bCs/>
          <w:iCs/>
        </w:rPr>
        <w:t>- обширная сбытовая сеть с возможностью транзитной и складской реализации металлопроката.</w:t>
      </w:r>
      <w:r w:rsidR="004F7BFA" w:rsidRPr="002419E5">
        <w:rPr>
          <w:rStyle w:val="Subst"/>
          <w:bCs/>
          <w:iCs/>
        </w:rPr>
        <w:br/>
      </w:r>
      <w:r w:rsidR="004F7BFA" w:rsidRPr="002419E5">
        <w:rPr>
          <w:rStyle w:val="Subst"/>
          <w:bCs/>
          <w:iCs/>
        </w:rPr>
        <w:br/>
        <w:t>Слабые стороны:</w:t>
      </w:r>
      <w:r w:rsidR="004F7BFA" w:rsidRPr="002419E5">
        <w:rPr>
          <w:rStyle w:val="Subst"/>
          <w:bCs/>
          <w:iCs/>
        </w:rPr>
        <w:br/>
        <w:t xml:space="preserve">- </w:t>
      </w:r>
      <w:r w:rsidRPr="002419E5">
        <w:rPr>
          <w:rStyle w:val="Subst"/>
          <w:bCs/>
          <w:iCs/>
        </w:rPr>
        <w:t>ограниченные производственные возможности по производству проката большого диаметра.</w:t>
      </w:r>
    </w:p>
    <w:p w14:paraId="2111BA04" w14:textId="77777777" w:rsidR="004F7BFA" w:rsidRPr="002419E5" w:rsidRDefault="004F7BFA">
      <w:pPr>
        <w:pStyle w:val="2"/>
      </w:pPr>
      <w:r w:rsidRPr="002419E5">
        <w:lastRenderedPageBreak/>
        <w:t>1.3. Основные операционные показатели, характеризующие деятельность эмитента</w:t>
      </w:r>
    </w:p>
    <w:p w14:paraId="4019F9FA" w14:textId="77777777" w:rsidR="004F7BFA" w:rsidRPr="002419E5" w:rsidRDefault="004F7BFA">
      <w:pPr>
        <w:pStyle w:val="SubHeading"/>
        <w:ind w:left="200"/>
      </w:pPr>
      <w:r w:rsidRPr="002419E5">
        <w:t>Операционные показатели</w:t>
      </w:r>
    </w:p>
    <w:p w14:paraId="3F97D372" w14:textId="77777777" w:rsidR="004F7BFA" w:rsidRPr="002419E5" w:rsidRDefault="004F7BFA">
      <w:pPr>
        <w:pStyle w:val="ThinDelim"/>
      </w:pPr>
    </w:p>
    <w:tbl>
      <w:tblPr>
        <w:tblW w:w="9252" w:type="dxa"/>
        <w:tblLayout w:type="fixed"/>
        <w:tblCellMar>
          <w:left w:w="72" w:type="dxa"/>
          <w:right w:w="72" w:type="dxa"/>
        </w:tblCellMar>
        <w:tblLook w:val="0000" w:firstRow="0" w:lastRow="0" w:firstColumn="0" w:lastColumn="0" w:noHBand="0" w:noVBand="0"/>
      </w:tblPr>
      <w:tblGrid>
        <w:gridCol w:w="3732"/>
        <w:gridCol w:w="1820"/>
        <w:gridCol w:w="1820"/>
        <w:gridCol w:w="1880"/>
      </w:tblGrid>
      <w:tr w:rsidR="004F7BFA" w:rsidRPr="002419E5" w14:paraId="7D64253E" w14:textId="77777777" w:rsidTr="00FE4488">
        <w:tc>
          <w:tcPr>
            <w:tcW w:w="3732" w:type="dxa"/>
            <w:tcBorders>
              <w:top w:val="double" w:sz="6" w:space="0" w:color="auto"/>
              <w:left w:val="double" w:sz="6" w:space="0" w:color="auto"/>
              <w:bottom w:val="single" w:sz="6" w:space="0" w:color="auto"/>
              <w:right w:val="single" w:sz="6" w:space="0" w:color="auto"/>
            </w:tcBorders>
          </w:tcPr>
          <w:p w14:paraId="3E979E45" w14:textId="77777777" w:rsidR="004F7BFA" w:rsidRPr="002419E5" w:rsidRDefault="004F7BFA">
            <w:pPr>
              <w:jc w:val="center"/>
            </w:pPr>
            <w:r w:rsidRPr="002419E5">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14:paraId="599F9F72" w14:textId="77777777" w:rsidR="004F7BFA" w:rsidRPr="002419E5" w:rsidRDefault="004F7BFA">
            <w:pPr>
              <w:jc w:val="center"/>
            </w:pPr>
            <w:r w:rsidRPr="002419E5">
              <w:t>Единица измерения</w:t>
            </w:r>
          </w:p>
        </w:tc>
        <w:tc>
          <w:tcPr>
            <w:tcW w:w="1820" w:type="dxa"/>
            <w:tcBorders>
              <w:top w:val="double" w:sz="6" w:space="0" w:color="auto"/>
              <w:left w:val="single" w:sz="6" w:space="0" w:color="auto"/>
              <w:bottom w:val="single" w:sz="6" w:space="0" w:color="auto"/>
              <w:right w:val="single" w:sz="6" w:space="0" w:color="auto"/>
            </w:tcBorders>
          </w:tcPr>
          <w:p w14:paraId="5BB4C535" w14:textId="77777777" w:rsidR="004F7BFA" w:rsidRPr="002419E5" w:rsidRDefault="004F7BFA">
            <w:pPr>
              <w:jc w:val="center"/>
            </w:pPr>
            <w:r w:rsidRPr="002419E5">
              <w:t>2023, 12 мес.</w:t>
            </w:r>
          </w:p>
        </w:tc>
        <w:tc>
          <w:tcPr>
            <w:tcW w:w="1880" w:type="dxa"/>
            <w:tcBorders>
              <w:top w:val="double" w:sz="6" w:space="0" w:color="auto"/>
              <w:left w:val="single" w:sz="6" w:space="0" w:color="auto"/>
              <w:bottom w:val="single" w:sz="6" w:space="0" w:color="auto"/>
              <w:right w:val="double" w:sz="6" w:space="0" w:color="auto"/>
            </w:tcBorders>
          </w:tcPr>
          <w:p w14:paraId="40FE7891" w14:textId="77777777" w:rsidR="004F7BFA" w:rsidRPr="002419E5" w:rsidRDefault="004F7BFA">
            <w:pPr>
              <w:jc w:val="center"/>
            </w:pPr>
            <w:r w:rsidRPr="002419E5">
              <w:t>2024, 12 мес.</w:t>
            </w:r>
          </w:p>
        </w:tc>
      </w:tr>
      <w:tr w:rsidR="00FE4488" w:rsidRPr="002419E5" w14:paraId="5E0F117C" w14:textId="77777777" w:rsidTr="00FE4488">
        <w:tc>
          <w:tcPr>
            <w:tcW w:w="3732" w:type="dxa"/>
            <w:tcBorders>
              <w:top w:val="single" w:sz="6" w:space="0" w:color="auto"/>
              <w:left w:val="double" w:sz="6" w:space="0" w:color="auto"/>
              <w:bottom w:val="double" w:sz="6" w:space="0" w:color="auto"/>
              <w:right w:val="single" w:sz="6" w:space="0" w:color="auto"/>
            </w:tcBorders>
          </w:tcPr>
          <w:p w14:paraId="05F5C22C" w14:textId="77777777" w:rsidR="00FE4488" w:rsidRPr="002419E5" w:rsidRDefault="00FE4488" w:rsidP="00FE4488">
            <w:r w:rsidRPr="002419E5">
              <w:t>Реализация продукции:</w:t>
            </w:r>
          </w:p>
        </w:tc>
        <w:tc>
          <w:tcPr>
            <w:tcW w:w="1820" w:type="dxa"/>
            <w:tcBorders>
              <w:top w:val="single" w:sz="6" w:space="0" w:color="auto"/>
              <w:left w:val="single" w:sz="6" w:space="0" w:color="auto"/>
              <w:bottom w:val="double" w:sz="6" w:space="0" w:color="auto"/>
              <w:right w:val="single" w:sz="6" w:space="0" w:color="auto"/>
            </w:tcBorders>
          </w:tcPr>
          <w:p w14:paraId="4026D532" w14:textId="77777777" w:rsidR="00FE4488" w:rsidRPr="002419E5" w:rsidRDefault="00FE4488" w:rsidP="00FE4488">
            <w:r w:rsidRPr="002419E5">
              <w:t>тн.</w:t>
            </w:r>
          </w:p>
        </w:tc>
        <w:tc>
          <w:tcPr>
            <w:tcW w:w="1820" w:type="dxa"/>
            <w:tcBorders>
              <w:top w:val="single" w:sz="6" w:space="0" w:color="auto"/>
              <w:left w:val="single" w:sz="6" w:space="0" w:color="auto"/>
              <w:bottom w:val="double" w:sz="6" w:space="0" w:color="auto"/>
              <w:right w:val="single" w:sz="6" w:space="0" w:color="auto"/>
            </w:tcBorders>
          </w:tcPr>
          <w:p w14:paraId="2CCDB662" w14:textId="77777777" w:rsidR="00FE4488" w:rsidRPr="002419E5" w:rsidRDefault="00FE4488" w:rsidP="00FE4488">
            <w:r w:rsidRPr="002419E5">
              <w:t>350 311</w:t>
            </w:r>
          </w:p>
        </w:tc>
        <w:tc>
          <w:tcPr>
            <w:tcW w:w="1880" w:type="dxa"/>
            <w:tcBorders>
              <w:top w:val="single" w:sz="6" w:space="0" w:color="auto"/>
              <w:left w:val="single" w:sz="6" w:space="0" w:color="auto"/>
              <w:bottom w:val="double" w:sz="6" w:space="0" w:color="auto"/>
              <w:right w:val="double" w:sz="6" w:space="0" w:color="auto"/>
            </w:tcBorders>
          </w:tcPr>
          <w:p w14:paraId="6ADA918F" w14:textId="77777777" w:rsidR="00FE4488" w:rsidRPr="002419E5" w:rsidRDefault="00FE4488" w:rsidP="00FE4488">
            <w:r w:rsidRPr="002419E5">
              <w:t>362 346</w:t>
            </w:r>
          </w:p>
        </w:tc>
      </w:tr>
    </w:tbl>
    <w:p w14:paraId="031EA9AD" w14:textId="77777777" w:rsidR="004F7BFA" w:rsidRPr="002419E5" w:rsidRDefault="004F7BFA"/>
    <w:p w14:paraId="4A600D57" w14:textId="77777777" w:rsidR="004F7BFA" w:rsidRPr="002419E5" w:rsidRDefault="004F7BFA">
      <w:pPr>
        <w:ind w:left="200"/>
      </w:pPr>
      <w:r w:rsidRPr="002419E5">
        <w:rPr>
          <w:rStyle w:val="Subst"/>
          <w:bCs/>
          <w:iCs/>
        </w:rPr>
        <w:t xml:space="preserve">По итогам 12 мес. 2024 г. объем реализации металлопродукции в натуральном выражении составил </w:t>
      </w:r>
      <w:bookmarkStart w:id="0" w:name="_GoBack"/>
      <w:r w:rsidRPr="002419E5">
        <w:rPr>
          <w:rStyle w:val="Subst"/>
          <w:bCs/>
          <w:iCs/>
        </w:rPr>
        <w:t xml:space="preserve">362 </w:t>
      </w:r>
      <w:bookmarkEnd w:id="0"/>
      <w:r w:rsidRPr="002419E5">
        <w:rPr>
          <w:rStyle w:val="Subst"/>
          <w:bCs/>
          <w:iCs/>
        </w:rPr>
        <w:t xml:space="preserve">346 </w:t>
      </w:r>
      <w:proofErr w:type="spellStart"/>
      <w:r w:rsidRPr="002419E5">
        <w:rPr>
          <w:rStyle w:val="Subst"/>
          <w:bCs/>
          <w:iCs/>
        </w:rPr>
        <w:t>тыс.тн</w:t>
      </w:r>
      <w:proofErr w:type="spellEnd"/>
      <w:r w:rsidRPr="002419E5">
        <w:rPr>
          <w:rStyle w:val="Subst"/>
          <w:bCs/>
          <w:iCs/>
        </w:rPr>
        <w:t>., что выше уровня аналогичного периода прошлого го</w:t>
      </w:r>
      <w:r w:rsidR="00FE4488" w:rsidRPr="002419E5">
        <w:rPr>
          <w:rStyle w:val="Subst"/>
          <w:bCs/>
          <w:iCs/>
        </w:rPr>
        <w:t xml:space="preserve">да на 12 036 </w:t>
      </w:r>
      <w:proofErr w:type="spellStart"/>
      <w:r w:rsidR="00FE4488" w:rsidRPr="002419E5">
        <w:rPr>
          <w:rStyle w:val="Subst"/>
          <w:bCs/>
          <w:iCs/>
        </w:rPr>
        <w:t>тыс.тн</w:t>
      </w:r>
      <w:proofErr w:type="spellEnd"/>
      <w:proofErr w:type="gramStart"/>
      <w:r w:rsidR="00FE4488" w:rsidRPr="002419E5">
        <w:rPr>
          <w:rStyle w:val="Subst"/>
          <w:bCs/>
          <w:iCs/>
        </w:rPr>
        <w:t>.</w:t>
      </w:r>
      <w:proofErr w:type="gramEnd"/>
      <w:r w:rsidR="00FE4488" w:rsidRPr="002419E5">
        <w:rPr>
          <w:rStyle w:val="Subst"/>
          <w:bCs/>
          <w:iCs/>
        </w:rPr>
        <w:t xml:space="preserve"> или на 3%.</w:t>
      </w:r>
    </w:p>
    <w:p w14:paraId="61ECA4FD" w14:textId="77777777" w:rsidR="004F7BFA" w:rsidRPr="002419E5" w:rsidRDefault="004F7BFA">
      <w:pPr>
        <w:pStyle w:val="2"/>
      </w:pPr>
      <w:r w:rsidRPr="002419E5">
        <w:t>1.4. Основные финансовые показатели эмитента</w:t>
      </w:r>
    </w:p>
    <w:p w14:paraId="79F72C36" w14:textId="77777777" w:rsidR="004F7BFA" w:rsidRPr="002419E5" w:rsidRDefault="004F7BFA">
      <w:pPr>
        <w:pStyle w:val="2"/>
      </w:pPr>
      <w:r w:rsidRPr="002419E5">
        <w:t xml:space="preserve">1.4.1. </w:t>
      </w:r>
      <w:proofErr w:type="gramStart"/>
      <w:r w:rsidRPr="002419E5">
        <w:t>Финансовые показатели</w:t>
      </w:r>
      <w:proofErr w:type="gramEnd"/>
      <w:r w:rsidRPr="002419E5">
        <w:t xml:space="preserve"> рассчитываемые на основе консолидированной финансовой отчетности (финансовой отчетности)</w:t>
      </w:r>
    </w:p>
    <w:p w14:paraId="1A680D61" w14:textId="77777777" w:rsidR="004F7BFA" w:rsidRPr="002419E5" w:rsidRDefault="004F7BFA">
      <w:pPr>
        <w:pStyle w:val="ThinDelim"/>
      </w:pPr>
    </w:p>
    <w:tbl>
      <w:tblPr>
        <w:tblW w:w="9252" w:type="dxa"/>
        <w:tblLayout w:type="fixed"/>
        <w:tblCellMar>
          <w:left w:w="72" w:type="dxa"/>
          <w:right w:w="72" w:type="dxa"/>
        </w:tblCellMar>
        <w:tblLook w:val="0000" w:firstRow="0" w:lastRow="0" w:firstColumn="0" w:lastColumn="0" w:noHBand="0" w:noVBand="0"/>
      </w:tblPr>
      <w:tblGrid>
        <w:gridCol w:w="692"/>
        <w:gridCol w:w="3420"/>
        <w:gridCol w:w="2560"/>
        <w:gridCol w:w="2580"/>
      </w:tblGrid>
      <w:tr w:rsidR="004F7BFA" w:rsidRPr="002419E5" w14:paraId="3D46E3D6" w14:textId="77777777" w:rsidTr="00FE4488">
        <w:tc>
          <w:tcPr>
            <w:tcW w:w="692" w:type="dxa"/>
            <w:tcBorders>
              <w:top w:val="double" w:sz="6" w:space="0" w:color="auto"/>
              <w:left w:val="double" w:sz="6" w:space="0" w:color="auto"/>
              <w:bottom w:val="single" w:sz="6" w:space="0" w:color="auto"/>
              <w:right w:val="single" w:sz="6" w:space="0" w:color="auto"/>
            </w:tcBorders>
          </w:tcPr>
          <w:p w14:paraId="24D5FC29" w14:textId="77777777" w:rsidR="004F7BFA" w:rsidRPr="002419E5" w:rsidRDefault="004F7BFA">
            <w:pPr>
              <w:jc w:val="center"/>
            </w:pPr>
            <w:r w:rsidRPr="002419E5">
              <w:t>N п/п</w:t>
            </w:r>
          </w:p>
        </w:tc>
        <w:tc>
          <w:tcPr>
            <w:tcW w:w="3420" w:type="dxa"/>
            <w:tcBorders>
              <w:top w:val="double" w:sz="6" w:space="0" w:color="auto"/>
              <w:left w:val="single" w:sz="6" w:space="0" w:color="auto"/>
              <w:bottom w:val="single" w:sz="6" w:space="0" w:color="auto"/>
              <w:right w:val="single" w:sz="6" w:space="0" w:color="auto"/>
            </w:tcBorders>
          </w:tcPr>
          <w:p w14:paraId="40377408" w14:textId="77777777" w:rsidR="004F7BFA" w:rsidRPr="002419E5" w:rsidRDefault="004F7BFA">
            <w:pPr>
              <w:jc w:val="center"/>
            </w:pPr>
            <w:r w:rsidRPr="002419E5">
              <w:t>Наименование показателя</w:t>
            </w:r>
          </w:p>
        </w:tc>
        <w:tc>
          <w:tcPr>
            <w:tcW w:w="2560" w:type="dxa"/>
            <w:tcBorders>
              <w:top w:val="double" w:sz="6" w:space="0" w:color="auto"/>
              <w:left w:val="single" w:sz="6" w:space="0" w:color="auto"/>
              <w:bottom w:val="single" w:sz="6" w:space="0" w:color="auto"/>
              <w:right w:val="single" w:sz="6" w:space="0" w:color="auto"/>
            </w:tcBorders>
          </w:tcPr>
          <w:p w14:paraId="2A6B2728" w14:textId="77777777" w:rsidR="004F7BFA" w:rsidRPr="002419E5" w:rsidRDefault="004F7BFA">
            <w:pPr>
              <w:jc w:val="center"/>
            </w:pPr>
            <w:r w:rsidRPr="002419E5">
              <w:t>2023, 12 мес.</w:t>
            </w:r>
          </w:p>
        </w:tc>
        <w:tc>
          <w:tcPr>
            <w:tcW w:w="2580" w:type="dxa"/>
            <w:tcBorders>
              <w:top w:val="double" w:sz="6" w:space="0" w:color="auto"/>
              <w:left w:val="single" w:sz="6" w:space="0" w:color="auto"/>
              <w:bottom w:val="single" w:sz="6" w:space="0" w:color="auto"/>
              <w:right w:val="double" w:sz="6" w:space="0" w:color="auto"/>
            </w:tcBorders>
          </w:tcPr>
          <w:p w14:paraId="6BC9F19C" w14:textId="77777777" w:rsidR="004F7BFA" w:rsidRPr="002419E5" w:rsidRDefault="004F7BFA">
            <w:pPr>
              <w:jc w:val="center"/>
            </w:pPr>
            <w:r w:rsidRPr="002419E5">
              <w:t>2024, 12 мес.</w:t>
            </w:r>
          </w:p>
        </w:tc>
      </w:tr>
      <w:tr w:rsidR="004F7BFA" w:rsidRPr="002419E5" w14:paraId="5E135F28" w14:textId="77777777" w:rsidTr="00FE4488">
        <w:tc>
          <w:tcPr>
            <w:tcW w:w="692" w:type="dxa"/>
            <w:tcBorders>
              <w:top w:val="single" w:sz="6" w:space="0" w:color="auto"/>
              <w:left w:val="double" w:sz="6" w:space="0" w:color="auto"/>
              <w:bottom w:val="single" w:sz="6" w:space="0" w:color="auto"/>
              <w:right w:val="single" w:sz="6" w:space="0" w:color="auto"/>
            </w:tcBorders>
          </w:tcPr>
          <w:p w14:paraId="639F4D73" w14:textId="77777777" w:rsidR="004F7BFA" w:rsidRPr="002419E5" w:rsidRDefault="004F7BFA">
            <w:r w:rsidRPr="002419E5">
              <w:t>1</w:t>
            </w:r>
          </w:p>
        </w:tc>
        <w:tc>
          <w:tcPr>
            <w:tcW w:w="3420" w:type="dxa"/>
            <w:tcBorders>
              <w:top w:val="single" w:sz="6" w:space="0" w:color="auto"/>
              <w:left w:val="single" w:sz="6" w:space="0" w:color="auto"/>
              <w:bottom w:val="single" w:sz="6" w:space="0" w:color="auto"/>
              <w:right w:val="single" w:sz="6" w:space="0" w:color="auto"/>
            </w:tcBorders>
          </w:tcPr>
          <w:p w14:paraId="716B2445" w14:textId="77777777" w:rsidR="004F7BFA" w:rsidRPr="002419E5" w:rsidRDefault="004F7BFA">
            <w:r w:rsidRPr="002419E5">
              <w:t>Выручка, тыс. руб.</w:t>
            </w:r>
          </w:p>
        </w:tc>
        <w:tc>
          <w:tcPr>
            <w:tcW w:w="2560" w:type="dxa"/>
            <w:tcBorders>
              <w:top w:val="single" w:sz="6" w:space="0" w:color="auto"/>
              <w:left w:val="single" w:sz="6" w:space="0" w:color="auto"/>
              <w:bottom w:val="single" w:sz="6" w:space="0" w:color="auto"/>
              <w:right w:val="single" w:sz="6" w:space="0" w:color="auto"/>
            </w:tcBorders>
          </w:tcPr>
          <w:p w14:paraId="365B4FB2" w14:textId="77777777" w:rsidR="004F7BFA" w:rsidRPr="002419E5" w:rsidRDefault="004F7BFA">
            <w:r w:rsidRPr="002419E5">
              <w:t>32 428 971</w:t>
            </w:r>
          </w:p>
        </w:tc>
        <w:tc>
          <w:tcPr>
            <w:tcW w:w="2580" w:type="dxa"/>
            <w:tcBorders>
              <w:top w:val="single" w:sz="6" w:space="0" w:color="auto"/>
              <w:left w:val="single" w:sz="6" w:space="0" w:color="auto"/>
              <w:bottom w:val="single" w:sz="6" w:space="0" w:color="auto"/>
              <w:right w:val="double" w:sz="6" w:space="0" w:color="auto"/>
            </w:tcBorders>
          </w:tcPr>
          <w:p w14:paraId="680D3767" w14:textId="77777777" w:rsidR="004F7BFA" w:rsidRPr="002419E5" w:rsidRDefault="004F7BFA">
            <w:r w:rsidRPr="002419E5">
              <w:t>33 365 576</w:t>
            </w:r>
          </w:p>
        </w:tc>
      </w:tr>
      <w:tr w:rsidR="004F7BFA" w:rsidRPr="002419E5" w14:paraId="49967185" w14:textId="77777777" w:rsidTr="00FE4488">
        <w:tc>
          <w:tcPr>
            <w:tcW w:w="692" w:type="dxa"/>
            <w:tcBorders>
              <w:top w:val="single" w:sz="6" w:space="0" w:color="auto"/>
              <w:left w:val="double" w:sz="6" w:space="0" w:color="auto"/>
              <w:bottom w:val="single" w:sz="6" w:space="0" w:color="auto"/>
              <w:right w:val="single" w:sz="6" w:space="0" w:color="auto"/>
            </w:tcBorders>
          </w:tcPr>
          <w:p w14:paraId="28365B39" w14:textId="77777777" w:rsidR="004F7BFA" w:rsidRPr="002419E5" w:rsidRDefault="004F7BFA">
            <w:r w:rsidRPr="002419E5">
              <w:t>2</w:t>
            </w:r>
          </w:p>
        </w:tc>
        <w:tc>
          <w:tcPr>
            <w:tcW w:w="3420" w:type="dxa"/>
            <w:tcBorders>
              <w:top w:val="single" w:sz="6" w:space="0" w:color="auto"/>
              <w:left w:val="single" w:sz="6" w:space="0" w:color="auto"/>
              <w:bottom w:val="single" w:sz="6" w:space="0" w:color="auto"/>
              <w:right w:val="single" w:sz="6" w:space="0" w:color="auto"/>
            </w:tcBorders>
          </w:tcPr>
          <w:p w14:paraId="48565D71" w14:textId="77777777" w:rsidR="004F7BFA" w:rsidRPr="002419E5" w:rsidRDefault="004F7BFA">
            <w:r w:rsidRPr="002419E5">
              <w:t>Прибыль до вычета расходов по выплате процентов, налогов, износа основных средств и амортизации нематериальных активов (EBITDA), тыс. руб.</w:t>
            </w:r>
          </w:p>
        </w:tc>
        <w:tc>
          <w:tcPr>
            <w:tcW w:w="2560" w:type="dxa"/>
            <w:tcBorders>
              <w:top w:val="single" w:sz="6" w:space="0" w:color="auto"/>
              <w:left w:val="single" w:sz="6" w:space="0" w:color="auto"/>
              <w:bottom w:val="single" w:sz="6" w:space="0" w:color="auto"/>
              <w:right w:val="single" w:sz="6" w:space="0" w:color="auto"/>
            </w:tcBorders>
          </w:tcPr>
          <w:p w14:paraId="344B99AF" w14:textId="77777777" w:rsidR="004F7BFA" w:rsidRPr="002419E5" w:rsidRDefault="004F7BFA">
            <w:r w:rsidRPr="002419E5">
              <w:t>2 973 146</w:t>
            </w:r>
          </w:p>
        </w:tc>
        <w:tc>
          <w:tcPr>
            <w:tcW w:w="2580" w:type="dxa"/>
            <w:tcBorders>
              <w:top w:val="single" w:sz="6" w:space="0" w:color="auto"/>
              <w:left w:val="single" w:sz="6" w:space="0" w:color="auto"/>
              <w:bottom w:val="single" w:sz="6" w:space="0" w:color="auto"/>
              <w:right w:val="double" w:sz="6" w:space="0" w:color="auto"/>
            </w:tcBorders>
          </w:tcPr>
          <w:p w14:paraId="53539C0D" w14:textId="77777777" w:rsidR="004F7BFA" w:rsidRPr="002419E5" w:rsidRDefault="004F7BFA">
            <w:r w:rsidRPr="002419E5">
              <w:t>3 784 822</w:t>
            </w:r>
          </w:p>
        </w:tc>
      </w:tr>
      <w:tr w:rsidR="004F7BFA" w:rsidRPr="002419E5" w14:paraId="6A8C80DA" w14:textId="77777777" w:rsidTr="00FE4488">
        <w:tc>
          <w:tcPr>
            <w:tcW w:w="692" w:type="dxa"/>
            <w:tcBorders>
              <w:top w:val="single" w:sz="6" w:space="0" w:color="auto"/>
              <w:left w:val="double" w:sz="6" w:space="0" w:color="auto"/>
              <w:bottom w:val="single" w:sz="6" w:space="0" w:color="auto"/>
              <w:right w:val="single" w:sz="6" w:space="0" w:color="auto"/>
            </w:tcBorders>
          </w:tcPr>
          <w:p w14:paraId="2B8DCA24" w14:textId="77777777" w:rsidR="004F7BFA" w:rsidRPr="002419E5" w:rsidRDefault="004F7BFA">
            <w:r w:rsidRPr="002419E5">
              <w:t>3</w:t>
            </w:r>
          </w:p>
        </w:tc>
        <w:tc>
          <w:tcPr>
            <w:tcW w:w="3420" w:type="dxa"/>
            <w:tcBorders>
              <w:top w:val="single" w:sz="6" w:space="0" w:color="auto"/>
              <w:left w:val="single" w:sz="6" w:space="0" w:color="auto"/>
              <w:bottom w:val="single" w:sz="6" w:space="0" w:color="auto"/>
              <w:right w:val="single" w:sz="6" w:space="0" w:color="auto"/>
            </w:tcBorders>
          </w:tcPr>
          <w:p w14:paraId="7990A436" w14:textId="77777777" w:rsidR="004F7BFA" w:rsidRPr="002419E5" w:rsidRDefault="004F7BFA">
            <w:r w:rsidRPr="002419E5">
              <w:t xml:space="preserve">Рентабельность по EBITDA (EBITDA </w:t>
            </w:r>
            <w:proofErr w:type="spellStart"/>
            <w:r w:rsidRPr="002419E5">
              <w:t>margin</w:t>
            </w:r>
            <w:proofErr w:type="spellEnd"/>
            <w:r w:rsidRPr="002419E5">
              <w:t>), %</w:t>
            </w:r>
          </w:p>
        </w:tc>
        <w:tc>
          <w:tcPr>
            <w:tcW w:w="2560" w:type="dxa"/>
            <w:tcBorders>
              <w:top w:val="single" w:sz="6" w:space="0" w:color="auto"/>
              <w:left w:val="single" w:sz="6" w:space="0" w:color="auto"/>
              <w:bottom w:val="single" w:sz="6" w:space="0" w:color="auto"/>
              <w:right w:val="single" w:sz="6" w:space="0" w:color="auto"/>
            </w:tcBorders>
          </w:tcPr>
          <w:p w14:paraId="3CF8A35A" w14:textId="77777777" w:rsidR="004F7BFA" w:rsidRPr="002419E5" w:rsidRDefault="004F7BFA">
            <w:r w:rsidRPr="002419E5">
              <w:t>9</w:t>
            </w:r>
          </w:p>
        </w:tc>
        <w:tc>
          <w:tcPr>
            <w:tcW w:w="2580" w:type="dxa"/>
            <w:tcBorders>
              <w:top w:val="single" w:sz="6" w:space="0" w:color="auto"/>
              <w:left w:val="single" w:sz="6" w:space="0" w:color="auto"/>
              <w:bottom w:val="single" w:sz="6" w:space="0" w:color="auto"/>
              <w:right w:val="double" w:sz="6" w:space="0" w:color="auto"/>
            </w:tcBorders>
          </w:tcPr>
          <w:p w14:paraId="299F97BA" w14:textId="77777777" w:rsidR="004F7BFA" w:rsidRPr="002419E5" w:rsidRDefault="004F7BFA">
            <w:r w:rsidRPr="002419E5">
              <w:t>11</w:t>
            </w:r>
          </w:p>
        </w:tc>
      </w:tr>
      <w:tr w:rsidR="004F7BFA" w:rsidRPr="002419E5" w14:paraId="769A3FA1" w14:textId="77777777" w:rsidTr="00FE4488">
        <w:tc>
          <w:tcPr>
            <w:tcW w:w="692" w:type="dxa"/>
            <w:tcBorders>
              <w:top w:val="single" w:sz="6" w:space="0" w:color="auto"/>
              <w:left w:val="double" w:sz="6" w:space="0" w:color="auto"/>
              <w:bottom w:val="single" w:sz="6" w:space="0" w:color="auto"/>
              <w:right w:val="single" w:sz="6" w:space="0" w:color="auto"/>
            </w:tcBorders>
          </w:tcPr>
          <w:p w14:paraId="2B381392" w14:textId="77777777" w:rsidR="004F7BFA" w:rsidRPr="002419E5" w:rsidRDefault="004F7BFA">
            <w:r w:rsidRPr="002419E5">
              <w:t>4</w:t>
            </w:r>
          </w:p>
        </w:tc>
        <w:tc>
          <w:tcPr>
            <w:tcW w:w="3420" w:type="dxa"/>
            <w:tcBorders>
              <w:top w:val="single" w:sz="6" w:space="0" w:color="auto"/>
              <w:left w:val="single" w:sz="6" w:space="0" w:color="auto"/>
              <w:bottom w:val="single" w:sz="6" w:space="0" w:color="auto"/>
              <w:right w:val="single" w:sz="6" w:space="0" w:color="auto"/>
            </w:tcBorders>
          </w:tcPr>
          <w:p w14:paraId="2153A2DB" w14:textId="77777777" w:rsidR="004F7BFA" w:rsidRPr="002419E5" w:rsidRDefault="004F7BFA">
            <w:r w:rsidRPr="002419E5">
              <w:t>Чистая прибыль (убыток), тыс. руб.</w:t>
            </w:r>
          </w:p>
        </w:tc>
        <w:tc>
          <w:tcPr>
            <w:tcW w:w="2560" w:type="dxa"/>
            <w:tcBorders>
              <w:top w:val="single" w:sz="6" w:space="0" w:color="auto"/>
              <w:left w:val="single" w:sz="6" w:space="0" w:color="auto"/>
              <w:bottom w:val="single" w:sz="6" w:space="0" w:color="auto"/>
              <w:right w:val="single" w:sz="6" w:space="0" w:color="auto"/>
            </w:tcBorders>
          </w:tcPr>
          <w:p w14:paraId="209B64BB" w14:textId="77777777" w:rsidR="004F7BFA" w:rsidRPr="002419E5" w:rsidRDefault="004F7BFA">
            <w:r w:rsidRPr="002419E5">
              <w:t>3 530 367</w:t>
            </w:r>
          </w:p>
        </w:tc>
        <w:tc>
          <w:tcPr>
            <w:tcW w:w="2580" w:type="dxa"/>
            <w:tcBorders>
              <w:top w:val="single" w:sz="6" w:space="0" w:color="auto"/>
              <w:left w:val="single" w:sz="6" w:space="0" w:color="auto"/>
              <w:bottom w:val="single" w:sz="6" w:space="0" w:color="auto"/>
              <w:right w:val="double" w:sz="6" w:space="0" w:color="auto"/>
            </w:tcBorders>
          </w:tcPr>
          <w:p w14:paraId="0474241E" w14:textId="77777777" w:rsidR="004F7BFA" w:rsidRPr="002419E5" w:rsidRDefault="004F7BFA">
            <w:r w:rsidRPr="002419E5">
              <w:t>3 016 079</w:t>
            </w:r>
          </w:p>
        </w:tc>
      </w:tr>
      <w:tr w:rsidR="004F7BFA" w:rsidRPr="002419E5" w14:paraId="372FD60B" w14:textId="77777777" w:rsidTr="00FE4488">
        <w:tc>
          <w:tcPr>
            <w:tcW w:w="692" w:type="dxa"/>
            <w:tcBorders>
              <w:top w:val="single" w:sz="6" w:space="0" w:color="auto"/>
              <w:left w:val="double" w:sz="6" w:space="0" w:color="auto"/>
              <w:bottom w:val="single" w:sz="6" w:space="0" w:color="auto"/>
              <w:right w:val="single" w:sz="6" w:space="0" w:color="auto"/>
            </w:tcBorders>
          </w:tcPr>
          <w:p w14:paraId="1687EE30" w14:textId="77777777" w:rsidR="004F7BFA" w:rsidRPr="002419E5" w:rsidRDefault="004F7BFA">
            <w:r w:rsidRPr="002419E5">
              <w:t>5</w:t>
            </w:r>
          </w:p>
        </w:tc>
        <w:tc>
          <w:tcPr>
            <w:tcW w:w="3420" w:type="dxa"/>
            <w:tcBorders>
              <w:top w:val="single" w:sz="6" w:space="0" w:color="auto"/>
              <w:left w:val="single" w:sz="6" w:space="0" w:color="auto"/>
              <w:bottom w:val="single" w:sz="6" w:space="0" w:color="auto"/>
              <w:right w:val="single" w:sz="6" w:space="0" w:color="auto"/>
            </w:tcBorders>
          </w:tcPr>
          <w:p w14:paraId="77C97416" w14:textId="77777777" w:rsidR="004F7BFA" w:rsidRPr="002419E5" w:rsidRDefault="004F7BFA">
            <w:r w:rsidRPr="002419E5">
              <w:t>Чистые денежные средства, полученные от операционной деятельности, тыс. руб.</w:t>
            </w:r>
          </w:p>
        </w:tc>
        <w:tc>
          <w:tcPr>
            <w:tcW w:w="2560" w:type="dxa"/>
            <w:tcBorders>
              <w:top w:val="single" w:sz="6" w:space="0" w:color="auto"/>
              <w:left w:val="single" w:sz="6" w:space="0" w:color="auto"/>
              <w:bottom w:val="single" w:sz="6" w:space="0" w:color="auto"/>
              <w:right w:val="single" w:sz="6" w:space="0" w:color="auto"/>
            </w:tcBorders>
          </w:tcPr>
          <w:p w14:paraId="0677693B" w14:textId="77777777" w:rsidR="004F7BFA" w:rsidRPr="002419E5" w:rsidRDefault="004F7BFA">
            <w:r w:rsidRPr="002419E5">
              <w:t>-703 353</w:t>
            </w:r>
          </w:p>
        </w:tc>
        <w:tc>
          <w:tcPr>
            <w:tcW w:w="2580" w:type="dxa"/>
            <w:tcBorders>
              <w:top w:val="single" w:sz="6" w:space="0" w:color="auto"/>
              <w:left w:val="single" w:sz="6" w:space="0" w:color="auto"/>
              <w:bottom w:val="single" w:sz="6" w:space="0" w:color="auto"/>
              <w:right w:val="double" w:sz="6" w:space="0" w:color="auto"/>
            </w:tcBorders>
          </w:tcPr>
          <w:p w14:paraId="2E0CAC04" w14:textId="77777777" w:rsidR="004F7BFA" w:rsidRPr="002419E5" w:rsidRDefault="004F7BFA">
            <w:r w:rsidRPr="002419E5">
              <w:t>1 260 859</w:t>
            </w:r>
          </w:p>
        </w:tc>
      </w:tr>
      <w:tr w:rsidR="004F7BFA" w:rsidRPr="002419E5" w14:paraId="09D37DF9" w14:textId="77777777" w:rsidTr="00FE4488">
        <w:tc>
          <w:tcPr>
            <w:tcW w:w="692" w:type="dxa"/>
            <w:tcBorders>
              <w:top w:val="single" w:sz="6" w:space="0" w:color="auto"/>
              <w:left w:val="double" w:sz="6" w:space="0" w:color="auto"/>
              <w:bottom w:val="single" w:sz="6" w:space="0" w:color="auto"/>
              <w:right w:val="single" w:sz="6" w:space="0" w:color="auto"/>
            </w:tcBorders>
          </w:tcPr>
          <w:p w14:paraId="41332D80" w14:textId="77777777" w:rsidR="004F7BFA" w:rsidRPr="002419E5" w:rsidRDefault="004F7BFA">
            <w:r w:rsidRPr="002419E5">
              <w:t>6</w:t>
            </w:r>
          </w:p>
        </w:tc>
        <w:tc>
          <w:tcPr>
            <w:tcW w:w="3420" w:type="dxa"/>
            <w:tcBorders>
              <w:top w:val="single" w:sz="6" w:space="0" w:color="auto"/>
              <w:left w:val="single" w:sz="6" w:space="0" w:color="auto"/>
              <w:bottom w:val="single" w:sz="6" w:space="0" w:color="auto"/>
              <w:right w:val="single" w:sz="6" w:space="0" w:color="auto"/>
            </w:tcBorders>
          </w:tcPr>
          <w:p w14:paraId="6365689B" w14:textId="77777777" w:rsidR="004F7BFA" w:rsidRPr="002419E5" w:rsidRDefault="004F7BFA">
            <w:r w:rsidRPr="002419E5">
              <w:t>Расходы на приобретение основных средств и нематериальных активов (капитальные затраты), тыс. руб.</w:t>
            </w:r>
          </w:p>
        </w:tc>
        <w:tc>
          <w:tcPr>
            <w:tcW w:w="2560" w:type="dxa"/>
            <w:tcBorders>
              <w:top w:val="single" w:sz="6" w:space="0" w:color="auto"/>
              <w:left w:val="single" w:sz="6" w:space="0" w:color="auto"/>
              <w:bottom w:val="single" w:sz="6" w:space="0" w:color="auto"/>
              <w:right w:val="single" w:sz="6" w:space="0" w:color="auto"/>
            </w:tcBorders>
          </w:tcPr>
          <w:p w14:paraId="446AEBBC" w14:textId="77777777" w:rsidR="004F7BFA" w:rsidRPr="002419E5" w:rsidRDefault="004F7BFA">
            <w:r w:rsidRPr="002419E5">
              <w:t>-322 787</w:t>
            </w:r>
          </w:p>
        </w:tc>
        <w:tc>
          <w:tcPr>
            <w:tcW w:w="2580" w:type="dxa"/>
            <w:tcBorders>
              <w:top w:val="single" w:sz="6" w:space="0" w:color="auto"/>
              <w:left w:val="single" w:sz="6" w:space="0" w:color="auto"/>
              <w:bottom w:val="single" w:sz="6" w:space="0" w:color="auto"/>
              <w:right w:val="double" w:sz="6" w:space="0" w:color="auto"/>
            </w:tcBorders>
          </w:tcPr>
          <w:p w14:paraId="54E25493" w14:textId="77777777" w:rsidR="004F7BFA" w:rsidRPr="002419E5" w:rsidRDefault="004F7BFA">
            <w:r w:rsidRPr="002419E5">
              <w:t>-211 163</w:t>
            </w:r>
          </w:p>
        </w:tc>
      </w:tr>
      <w:tr w:rsidR="004F7BFA" w:rsidRPr="002419E5" w14:paraId="16607688" w14:textId="77777777" w:rsidTr="00FE4488">
        <w:tc>
          <w:tcPr>
            <w:tcW w:w="692" w:type="dxa"/>
            <w:tcBorders>
              <w:top w:val="single" w:sz="6" w:space="0" w:color="auto"/>
              <w:left w:val="double" w:sz="6" w:space="0" w:color="auto"/>
              <w:bottom w:val="single" w:sz="6" w:space="0" w:color="auto"/>
              <w:right w:val="single" w:sz="6" w:space="0" w:color="auto"/>
            </w:tcBorders>
          </w:tcPr>
          <w:p w14:paraId="11946285" w14:textId="77777777" w:rsidR="004F7BFA" w:rsidRPr="002419E5" w:rsidRDefault="004F7BFA">
            <w:r w:rsidRPr="002419E5">
              <w:t>7</w:t>
            </w:r>
          </w:p>
        </w:tc>
        <w:tc>
          <w:tcPr>
            <w:tcW w:w="3420" w:type="dxa"/>
            <w:tcBorders>
              <w:top w:val="single" w:sz="6" w:space="0" w:color="auto"/>
              <w:left w:val="single" w:sz="6" w:space="0" w:color="auto"/>
              <w:bottom w:val="single" w:sz="6" w:space="0" w:color="auto"/>
              <w:right w:val="single" w:sz="6" w:space="0" w:color="auto"/>
            </w:tcBorders>
          </w:tcPr>
          <w:p w14:paraId="0494507A" w14:textId="77777777" w:rsidR="004F7BFA" w:rsidRPr="002419E5" w:rsidRDefault="004F7BFA">
            <w:r w:rsidRPr="002419E5">
              <w:t>Свободный денежный поток, тыс. руб.</w:t>
            </w:r>
          </w:p>
        </w:tc>
        <w:tc>
          <w:tcPr>
            <w:tcW w:w="2560" w:type="dxa"/>
            <w:tcBorders>
              <w:top w:val="single" w:sz="6" w:space="0" w:color="auto"/>
              <w:left w:val="single" w:sz="6" w:space="0" w:color="auto"/>
              <w:bottom w:val="single" w:sz="6" w:space="0" w:color="auto"/>
              <w:right w:val="single" w:sz="6" w:space="0" w:color="auto"/>
            </w:tcBorders>
          </w:tcPr>
          <w:p w14:paraId="48E008B9" w14:textId="77777777" w:rsidR="004F7BFA" w:rsidRPr="002419E5" w:rsidRDefault="004F7BFA">
            <w:r w:rsidRPr="002419E5">
              <w:t>-380 572</w:t>
            </w:r>
          </w:p>
        </w:tc>
        <w:tc>
          <w:tcPr>
            <w:tcW w:w="2580" w:type="dxa"/>
            <w:tcBorders>
              <w:top w:val="single" w:sz="6" w:space="0" w:color="auto"/>
              <w:left w:val="single" w:sz="6" w:space="0" w:color="auto"/>
              <w:bottom w:val="single" w:sz="6" w:space="0" w:color="auto"/>
              <w:right w:val="double" w:sz="6" w:space="0" w:color="auto"/>
            </w:tcBorders>
          </w:tcPr>
          <w:p w14:paraId="55BB8815" w14:textId="77777777" w:rsidR="004F7BFA" w:rsidRPr="002419E5" w:rsidRDefault="004F7BFA">
            <w:r w:rsidRPr="002419E5">
              <w:t>1 472 022</w:t>
            </w:r>
          </w:p>
        </w:tc>
      </w:tr>
      <w:tr w:rsidR="004F7BFA" w:rsidRPr="002419E5" w14:paraId="0472674C" w14:textId="77777777" w:rsidTr="00FE4488">
        <w:tc>
          <w:tcPr>
            <w:tcW w:w="692" w:type="dxa"/>
            <w:tcBorders>
              <w:top w:val="single" w:sz="6" w:space="0" w:color="auto"/>
              <w:left w:val="double" w:sz="6" w:space="0" w:color="auto"/>
              <w:bottom w:val="single" w:sz="6" w:space="0" w:color="auto"/>
              <w:right w:val="single" w:sz="6" w:space="0" w:color="auto"/>
            </w:tcBorders>
          </w:tcPr>
          <w:p w14:paraId="0DAFFE46" w14:textId="77777777" w:rsidR="004F7BFA" w:rsidRPr="002419E5" w:rsidRDefault="004F7BFA">
            <w:r w:rsidRPr="002419E5">
              <w:t>8</w:t>
            </w:r>
          </w:p>
        </w:tc>
        <w:tc>
          <w:tcPr>
            <w:tcW w:w="3420" w:type="dxa"/>
            <w:tcBorders>
              <w:top w:val="single" w:sz="6" w:space="0" w:color="auto"/>
              <w:left w:val="single" w:sz="6" w:space="0" w:color="auto"/>
              <w:bottom w:val="single" w:sz="6" w:space="0" w:color="auto"/>
              <w:right w:val="single" w:sz="6" w:space="0" w:color="auto"/>
            </w:tcBorders>
          </w:tcPr>
          <w:p w14:paraId="33BA861E" w14:textId="77777777" w:rsidR="004F7BFA" w:rsidRPr="002419E5" w:rsidRDefault="004F7BFA">
            <w:r w:rsidRPr="002419E5">
              <w:t>Чистый долг, тыс. руб.</w:t>
            </w:r>
          </w:p>
        </w:tc>
        <w:tc>
          <w:tcPr>
            <w:tcW w:w="2560" w:type="dxa"/>
            <w:tcBorders>
              <w:top w:val="single" w:sz="6" w:space="0" w:color="auto"/>
              <w:left w:val="single" w:sz="6" w:space="0" w:color="auto"/>
              <w:bottom w:val="single" w:sz="6" w:space="0" w:color="auto"/>
              <w:right w:val="single" w:sz="6" w:space="0" w:color="auto"/>
            </w:tcBorders>
          </w:tcPr>
          <w:p w14:paraId="15B7F9B4" w14:textId="77777777" w:rsidR="004F7BFA" w:rsidRPr="002419E5" w:rsidRDefault="004F7BFA">
            <w:r w:rsidRPr="002419E5">
              <w:t>12 673 577</w:t>
            </w:r>
          </w:p>
        </w:tc>
        <w:tc>
          <w:tcPr>
            <w:tcW w:w="2580" w:type="dxa"/>
            <w:tcBorders>
              <w:top w:val="single" w:sz="6" w:space="0" w:color="auto"/>
              <w:left w:val="single" w:sz="6" w:space="0" w:color="auto"/>
              <w:bottom w:val="single" w:sz="6" w:space="0" w:color="auto"/>
              <w:right w:val="double" w:sz="6" w:space="0" w:color="auto"/>
            </w:tcBorders>
          </w:tcPr>
          <w:p w14:paraId="4DF328D6" w14:textId="77777777" w:rsidR="004F7BFA" w:rsidRPr="002419E5" w:rsidRDefault="004F7BFA">
            <w:r w:rsidRPr="002419E5">
              <w:t>13 692 119</w:t>
            </w:r>
          </w:p>
        </w:tc>
      </w:tr>
      <w:tr w:rsidR="004F7BFA" w:rsidRPr="002419E5" w14:paraId="0AF5855E" w14:textId="77777777" w:rsidTr="00FE4488">
        <w:tc>
          <w:tcPr>
            <w:tcW w:w="692" w:type="dxa"/>
            <w:tcBorders>
              <w:top w:val="single" w:sz="6" w:space="0" w:color="auto"/>
              <w:left w:val="double" w:sz="6" w:space="0" w:color="auto"/>
              <w:bottom w:val="single" w:sz="6" w:space="0" w:color="auto"/>
              <w:right w:val="single" w:sz="6" w:space="0" w:color="auto"/>
            </w:tcBorders>
          </w:tcPr>
          <w:p w14:paraId="33F18203" w14:textId="77777777" w:rsidR="004F7BFA" w:rsidRPr="002419E5" w:rsidRDefault="004F7BFA">
            <w:r w:rsidRPr="002419E5">
              <w:t>9</w:t>
            </w:r>
          </w:p>
        </w:tc>
        <w:tc>
          <w:tcPr>
            <w:tcW w:w="3420" w:type="dxa"/>
            <w:tcBorders>
              <w:top w:val="single" w:sz="6" w:space="0" w:color="auto"/>
              <w:left w:val="single" w:sz="6" w:space="0" w:color="auto"/>
              <w:bottom w:val="single" w:sz="6" w:space="0" w:color="auto"/>
              <w:right w:val="single" w:sz="6" w:space="0" w:color="auto"/>
            </w:tcBorders>
          </w:tcPr>
          <w:p w14:paraId="531577CB" w14:textId="77777777" w:rsidR="004F7BFA" w:rsidRPr="002419E5" w:rsidRDefault="004F7BFA">
            <w:r w:rsidRPr="002419E5">
              <w:t>Отношение чистого долга к EBITDA за предыдущие 12 месяцев</w:t>
            </w:r>
          </w:p>
        </w:tc>
        <w:tc>
          <w:tcPr>
            <w:tcW w:w="2560" w:type="dxa"/>
            <w:tcBorders>
              <w:top w:val="single" w:sz="6" w:space="0" w:color="auto"/>
              <w:left w:val="single" w:sz="6" w:space="0" w:color="auto"/>
              <w:bottom w:val="single" w:sz="6" w:space="0" w:color="auto"/>
              <w:right w:val="single" w:sz="6" w:space="0" w:color="auto"/>
            </w:tcBorders>
          </w:tcPr>
          <w:p w14:paraId="79A18441" w14:textId="77777777" w:rsidR="004F7BFA" w:rsidRPr="002419E5" w:rsidRDefault="004F7BFA">
            <w:r w:rsidRPr="002419E5">
              <w:t>4.3</w:t>
            </w:r>
          </w:p>
        </w:tc>
        <w:tc>
          <w:tcPr>
            <w:tcW w:w="2580" w:type="dxa"/>
            <w:tcBorders>
              <w:top w:val="single" w:sz="6" w:space="0" w:color="auto"/>
              <w:left w:val="single" w:sz="6" w:space="0" w:color="auto"/>
              <w:bottom w:val="single" w:sz="6" w:space="0" w:color="auto"/>
              <w:right w:val="double" w:sz="6" w:space="0" w:color="auto"/>
            </w:tcBorders>
          </w:tcPr>
          <w:p w14:paraId="445BA5D4" w14:textId="77777777" w:rsidR="004F7BFA" w:rsidRPr="002419E5" w:rsidRDefault="004F7BFA">
            <w:r w:rsidRPr="002419E5">
              <w:t>3.6</w:t>
            </w:r>
          </w:p>
        </w:tc>
      </w:tr>
      <w:tr w:rsidR="004F7BFA" w:rsidRPr="002419E5" w14:paraId="22445FED" w14:textId="77777777" w:rsidTr="00FE4488">
        <w:tc>
          <w:tcPr>
            <w:tcW w:w="692" w:type="dxa"/>
            <w:tcBorders>
              <w:top w:val="single" w:sz="6" w:space="0" w:color="auto"/>
              <w:left w:val="double" w:sz="6" w:space="0" w:color="auto"/>
              <w:bottom w:val="double" w:sz="6" w:space="0" w:color="auto"/>
              <w:right w:val="single" w:sz="6" w:space="0" w:color="auto"/>
            </w:tcBorders>
          </w:tcPr>
          <w:p w14:paraId="080A2857" w14:textId="77777777" w:rsidR="004F7BFA" w:rsidRPr="002419E5" w:rsidRDefault="004F7BFA">
            <w:r w:rsidRPr="002419E5">
              <w:t>10</w:t>
            </w:r>
          </w:p>
        </w:tc>
        <w:tc>
          <w:tcPr>
            <w:tcW w:w="3420" w:type="dxa"/>
            <w:tcBorders>
              <w:top w:val="single" w:sz="6" w:space="0" w:color="auto"/>
              <w:left w:val="single" w:sz="6" w:space="0" w:color="auto"/>
              <w:bottom w:val="double" w:sz="6" w:space="0" w:color="auto"/>
              <w:right w:val="single" w:sz="6" w:space="0" w:color="auto"/>
            </w:tcBorders>
          </w:tcPr>
          <w:p w14:paraId="08BA4622" w14:textId="77777777" w:rsidR="004F7BFA" w:rsidRPr="002419E5" w:rsidRDefault="004F7BFA">
            <w:r w:rsidRPr="002419E5">
              <w:t>Рентабельность капитала (ROE), %</w:t>
            </w:r>
          </w:p>
        </w:tc>
        <w:tc>
          <w:tcPr>
            <w:tcW w:w="2560" w:type="dxa"/>
            <w:tcBorders>
              <w:top w:val="single" w:sz="6" w:space="0" w:color="auto"/>
              <w:left w:val="single" w:sz="6" w:space="0" w:color="auto"/>
              <w:bottom w:val="double" w:sz="6" w:space="0" w:color="auto"/>
              <w:right w:val="single" w:sz="6" w:space="0" w:color="auto"/>
            </w:tcBorders>
          </w:tcPr>
          <w:p w14:paraId="6D21467D" w14:textId="77777777" w:rsidR="004F7BFA" w:rsidRPr="002419E5" w:rsidRDefault="004F7BFA">
            <w:r w:rsidRPr="002419E5">
              <w:t>331</w:t>
            </w:r>
          </w:p>
        </w:tc>
        <w:tc>
          <w:tcPr>
            <w:tcW w:w="2580" w:type="dxa"/>
            <w:tcBorders>
              <w:top w:val="single" w:sz="6" w:space="0" w:color="auto"/>
              <w:left w:val="single" w:sz="6" w:space="0" w:color="auto"/>
              <w:bottom w:val="double" w:sz="6" w:space="0" w:color="auto"/>
              <w:right w:val="double" w:sz="6" w:space="0" w:color="auto"/>
            </w:tcBorders>
          </w:tcPr>
          <w:p w14:paraId="309A15D5" w14:textId="77777777" w:rsidR="004F7BFA" w:rsidRPr="002419E5" w:rsidRDefault="004F7BFA">
            <w:r w:rsidRPr="002419E5">
              <w:t>282</w:t>
            </w:r>
          </w:p>
        </w:tc>
      </w:tr>
    </w:tbl>
    <w:p w14:paraId="3420CEE1" w14:textId="77777777" w:rsidR="004F7BFA" w:rsidRPr="002419E5" w:rsidRDefault="004F7BFA"/>
    <w:p w14:paraId="69AD6806" w14:textId="77777777" w:rsidR="004F7BFA" w:rsidRPr="002419E5" w:rsidRDefault="004F7BFA">
      <w:pPr>
        <w:ind w:left="200"/>
      </w:pPr>
      <w:r w:rsidRPr="002419E5">
        <w:t>Статьи консолидированной финансовой отчетности (финансовой отчетности), на основе которых рассчитан показатель "Чистый долг":</w:t>
      </w:r>
      <w:r w:rsidRPr="002419E5">
        <w:br/>
      </w:r>
      <w:r w:rsidRPr="002419E5">
        <w:rPr>
          <w:rStyle w:val="Subst"/>
          <w:bCs/>
          <w:iCs/>
        </w:rPr>
        <w:t>Чистый долг = Долгосрочные обязательства + Краткосрочные обязательства - Денежные средства и денежные эквиваленты</w:t>
      </w:r>
    </w:p>
    <w:p w14:paraId="3C7CA9A9" w14:textId="77777777" w:rsidR="004F7BFA" w:rsidRPr="002419E5" w:rsidRDefault="004F7BFA">
      <w:pPr>
        <w:ind w:left="200"/>
      </w:pPr>
      <w:r w:rsidRPr="002419E5">
        <w:t>Статьи консолидированной финансовой (финансовой) отчётности, на основе которых рассчитан показатель EBITDA:</w:t>
      </w:r>
      <w:r w:rsidRPr="002419E5">
        <w:br/>
      </w:r>
      <w:r w:rsidRPr="002419E5">
        <w:rPr>
          <w:rStyle w:val="Subst"/>
          <w:bCs/>
          <w:iCs/>
        </w:rPr>
        <w:t xml:space="preserve">EBITDA = Прибыль (убыток) до налогообложение + Проценты к получению + Проценты к уплате + Амортизация ОС + Амортизация НМА+ Положительные (отрицательные) курсовые разницы </w:t>
      </w:r>
    </w:p>
    <w:p w14:paraId="15859F6D" w14:textId="77777777" w:rsidR="004F7BFA" w:rsidRPr="002419E5" w:rsidRDefault="004F7BFA">
      <w:pPr>
        <w:pStyle w:val="2"/>
      </w:pPr>
      <w:r w:rsidRPr="002419E5">
        <w:t>1.4.2. Финансовые показатели, рассчитываемые на основе бухгалтерской (финансовой) отчетности</w:t>
      </w:r>
    </w:p>
    <w:p w14:paraId="4241C2B5" w14:textId="77777777" w:rsidR="004F7BFA" w:rsidRPr="002419E5" w:rsidRDefault="004F7BFA">
      <w:pPr>
        <w:ind w:left="200"/>
      </w:pPr>
      <w:r w:rsidRPr="002419E5">
        <w:t>Эмитент, составляет и раскрывает консолидированную финансовую отчетность (финансовую отчетность)</w:t>
      </w:r>
    </w:p>
    <w:p w14:paraId="6FD776BD" w14:textId="77777777" w:rsidR="004F7BFA" w:rsidRPr="002419E5" w:rsidRDefault="004F7BFA">
      <w:pPr>
        <w:pStyle w:val="2"/>
      </w:pPr>
      <w:r w:rsidRPr="002419E5">
        <w:t>1.4.3. Финансовые показатели кредитной организации</w:t>
      </w:r>
    </w:p>
    <w:p w14:paraId="37F31A76" w14:textId="77777777" w:rsidR="004F7BFA" w:rsidRPr="002419E5" w:rsidRDefault="004F7BFA">
      <w:pPr>
        <w:ind w:left="200"/>
      </w:pPr>
      <w:r w:rsidRPr="002419E5">
        <w:lastRenderedPageBreak/>
        <w:t>Эмитент не является кредитной организацией</w:t>
      </w:r>
    </w:p>
    <w:p w14:paraId="044AE6A1" w14:textId="77777777" w:rsidR="004F7BFA" w:rsidRPr="002419E5" w:rsidRDefault="004F7BFA">
      <w:pPr>
        <w:pStyle w:val="2"/>
      </w:pPr>
      <w:r w:rsidRPr="002419E5">
        <w:t>1.4.4. Иные финансовые показатели</w:t>
      </w:r>
    </w:p>
    <w:p w14:paraId="487E6616" w14:textId="77777777" w:rsidR="004F7BFA" w:rsidRPr="002419E5" w:rsidRDefault="004F7BFA">
      <w:pPr>
        <w:ind w:left="200"/>
      </w:pPr>
      <w:r w:rsidRPr="002419E5">
        <w:rPr>
          <w:rStyle w:val="Subst"/>
          <w:bCs/>
          <w:iCs/>
        </w:rPr>
        <w:t>Информация не указывается</w:t>
      </w:r>
    </w:p>
    <w:p w14:paraId="341F2B4A" w14:textId="77777777" w:rsidR="004F7BFA" w:rsidRPr="002419E5" w:rsidRDefault="004F7BFA">
      <w:pPr>
        <w:pStyle w:val="2"/>
      </w:pPr>
      <w:r w:rsidRPr="002419E5">
        <w:t>1.4.5. Анализ динамики изменения финансовых показателей, приведенных в подпунктах 1.4.1 - 1.4.4 настоящего пункта</w:t>
      </w:r>
    </w:p>
    <w:p w14:paraId="2ACC92CC" w14:textId="77777777" w:rsidR="004F7BFA" w:rsidRPr="002419E5" w:rsidRDefault="004F7BFA">
      <w:pPr>
        <w:ind w:left="200"/>
      </w:pPr>
      <w:r w:rsidRPr="002419E5">
        <w:rPr>
          <w:rStyle w:val="Subst"/>
          <w:bCs/>
          <w:iCs/>
        </w:rPr>
        <w:t xml:space="preserve">Основные факторы роста выручки - увеличение цен на металлопродукцию и увеличение объема реализации. </w:t>
      </w:r>
      <w:r w:rsidRPr="002419E5">
        <w:rPr>
          <w:rStyle w:val="Subst"/>
          <w:bCs/>
          <w:iCs/>
        </w:rPr>
        <w:br/>
        <w:t>Снижение чистой прибыли за 12 мес. 2024 обусловлено ухудшением операционного финансового результата относительно 12 мес. 2023г.  Показатель EBITDA увеличился за счет снижения валовой величины отрицательных курсовых разниц, Рентабельность по EBITDA увеличилась с 9% до 11%. Рост чистых денежных средств от операционной деятельности обусловлен снижением товарно-материальных запасов, что привело к увеличению свободного денежного потока. Чистый долг на 01.01.2025 увеличился относительно 01.01.2024 по причине роста долгосрочных заимствований. Рентабельность капитала (ROE) уменьшилась в результате снижения чистой прибыли.</w:t>
      </w:r>
    </w:p>
    <w:p w14:paraId="05285895" w14:textId="77777777" w:rsidR="004F7BFA" w:rsidRPr="002419E5" w:rsidRDefault="004F7BFA">
      <w:pPr>
        <w:pStyle w:val="2"/>
      </w:pPr>
      <w:r w:rsidRPr="002419E5">
        <w:t>1.5. Сведения об основных поставщиках эмитента</w:t>
      </w:r>
    </w:p>
    <w:p w14:paraId="77DAEFA4" w14:textId="77777777" w:rsidR="004F7BFA" w:rsidRPr="002419E5" w:rsidRDefault="004F7BFA">
      <w:pPr>
        <w:ind w:left="200"/>
      </w:pPr>
      <w:r w:rsidRPr="002419E5">
        <w:t>Информация настоящего пункта раскрывается на основе данных консолидированной финансовой отчётности</w:t>
      </w:r>
    </w:p>
    <w:p w14:paraId="25286A87" w14:textId="77777777" w:rsidR="004F7BFA" w:rsidRPr="002419E5" w:rsidRDefault="004F7BFA">
      <w:pPr>
        <w:ind w:left="200"/>
      </w:pPr>
    </w:p>
    <w:p w14:paraId="1A8B91F0" w14:textId="77777777" w:rsidR="004F7BFA" w:rsidRPr="002419E5" w:rsidRDefault="004F7BFA">
      <w:pPr>
        <w:ind w:left="200"/>
      </w:pPr>
      <w:r w:rsidRPr="002419E5">
        <w:t xml:space="preserve">Уровень (количественный критерий) существенности объема и (или) доли поставок, осуществлённых </w:t>
      </w:r>
      <w:proofErr w:type="spellStart"/>
      <w:r w:rsidRPr="002419E5">
        <w:t>внешнегрупповыми</w:t>
      </w:r>
      <w:proofErr w:type="spellEnd"/>
      <w:r w:rsidRPr="002419E5">
        <w:t xml:space="preserve"> поставщиками:</w:t>
      </w:r>
      <w:r w:rsidRPr="002419E5">
        <w:rPr>
          <w:rStyle w:val="Subst"/>
          <w:bCs/>
          <w:iCs/>
        </w:rPr>
        <w:t xml:space="preserve"> 10 процентов от объема поставок сырья и товаров (работ, услуг), осуществленных </w:t>
      </w:r>
      <w:proofErr w:type="spellStart"/>
      <w:r w:rsidRPr="002419E5">
        <w:rPr>
          <w:rStyle w:val="Subst"/>
          <w:bCs/>
          <w:iCs/>
        </w:rPr>
        <w:t>внешнегрупповыми</w:t>
      </w:r>
      <w:proofErr w:type="spellEnd"/>
      <w:r w:rsidRPr="002419E5">
        <w:rPr>
          <w:rStyle w:val="Subst"/>
          <w:bCs/>
          <w:iCs/>
        </w:rPr>
        <w:t xml:space="preserve"> поставщиками</w:t>
      </w:r>
    </w:p>
    <w:p w14:paraId="776A764E" w14:textId="77777777" w:rsidR="00B37914" w:rsidRPr="002419E5" w:rsidRDefault="004F7BFA">
      <w:pPr>
        <w:ind w:left="200"/>
        <w:rPr>
          <w:rStyle w:val="Subst"/>
          <w:bCs/>
          <w:iCs/>
        </w:rPr>
      </w:pPr>
      <w:r w:rsidRPr="002419E5">
        <w:t xml:space="preserve">Объем и (или) доля поставок сырья и товаров (работ, услуг), приходящихся на поставщиков, входящих в группу эмитента, и на </w:t>
      </w:r>
      <w:proofErr w:type="spellStart"/>
      <w:r w:rsidRPr="002419E5">
        <w:t>внешнегрупповых</w:t>
      </w:r>
      <w:proofErr w:type="spellEnd"/>
      <w:r w:rsidRPr="002419E5">
        <w:t xml:space="preserve"> поставщиков:</w:t>
      </w:r>
      <w:r w:rsidRPr="002419E5">
        <w:rPr>
          <w:rStyle w:val="Subst"/>
          <w:bCs/>
          <w:iCs/>
        </w:rPr>
        <w:t xml:space="preserve"> </w:t>
      </w:r>
    </w:p>
    <w:p w14:paraId="4A499189" w14:textId="77777777" w:rsidR="00B37914" w:rsidRPr="002419E5" w:rsidRDefault="004F7BFA">
      <w:pPr>
        <w:ind w:left="200"/>
        <w:rPr>
          <w:rStyle w:val="Subst"/>
          <w:bCs/>
          <w:iCs/>
        </w:rPr>
      </w:pPr>
      <w:r w:rsidRPr="002419E5">
        <w:rPr>
          <w:rStyle w:val="Subst"/>
          <w:bCs/>
          <w:iCs/>
        </w:rPr>
        <w:t xml:space="preserve">Доля поставок сырья и товаров от поставщиков, входящих в группу эмитента - 0,05%. </w:t>
      </w:r>
    </w:p>
    <w:p w14:paraId="036110B6" w14:textId="77777777" w:rsidR="004F7BFA" w:rsidRPr="002419E5" w:rsidRDefault="004F7BFA">
      <w:pPr>
        <w:ind w:left="200"/>
      </w:pPr>
      <w:r w:rsidRPr="002419E5">
        <w:rPr>
          <w:rStyle w:val="Subst"/>
          <w:bCs/>
          <w:iCs/>
        </w:rPr>
        <w:t xml:space="preserve">Доля поставок сырья и товаров от </w:t>
      </w:r>
      <w:proofErr w:type="spellStart"/>
      <w:r w:rsidRPr="002419E5">
        <w:rPr>
          <w:rStyle w:val="Subst"/>
          <w:bCs/>
          <w:iCs/>
        </w:rPr>
        <w:t>внешнегрупповых</w:t>
      </w:r>
      <w:proofErr w:type="spellEnd"/>
      <w:r w:rsidRPr="002419E5">
        <w:rPr>
          <w:rStyle w:val="Subst"/>
          <w:bCs/>
          <w:iCs/>
        </w:rPr>
        <w:t xml:space="preserve"> поставщиков составила - 99,95%</w:t>
      </w:r>
    </w:p>
    <w:p w14:paraId="3DCAC4B9" w14:textId="77777777" w:rsidR="004F7BFA" w:rsidRPr="002419E5" w:rsidRDefault="004F7BFA">
      <w:pPr>
        <w:pStyle w:val="SubHeading"/>
        <w:ind w:left="200"/>
      </w:pPr>
      <w:r w:rsidRPr="002419E5">
        <w:t>Сведения о поставщиках, подпадающих под определенный эмитентом уровень существенности</w:t>
      </w:r>
    </w:p>
    <w:p w14:paraId="406739B0" w14:textId="77777777" w:rsidR="00B37914" w:rsidRPr="002419E5" w:rsidRDefault="00B37914" w:rsidP="00B37914">
      <w:pPr>
        <w:pStyle w:val="SubHeading"/>
        <w:ind w:left="200"/>
        <w:rPr>
          <w:b/>
        </w:rPr>
      </w:pPr>
      <w:r w:rsidRPr="002419E5">
        <w:rPr>
          <w:b/>
          <w:bCs/>
          <w:i/>
          <w:iCs/>
        </w:rPr>
        <w:t>Информация не раскрывается по основаниям, предусмотренным действующим законодательством</w:t>
      </w:r>
    </w:p>
    <w:p w14:paraId="531CEFF9" w14:textId="77777777" w:rsidR="004F7BFA" w:rsidRPr="002419E5" w:rsidRDefault="004F7BFA">
      <w:pPr>
        <w:pStyle w:val="SubHeading"/>
        <w:ind w:left="200"/>
      </w:pPr>
      <w:r w:rsidRPr="002419E5">
        <w:t>Сведения об иных поставщиках, имеющих для эмитента существенное значение</w:t>
      </w:r>
    </w:p>
    <w:p w14:paraId="182F17E6" w14:textId="77777777" w:rsidR="004F7BFA" w:rsidRPr="002419E5" w:rsidRDefault="004F7BFA">
      <w:pPr>
        <w:ind w:left="400"/>
      </w:pPr>
      <w:r w:rsidRPr="002419E5">
        <w:rPr>
          <w:rStyle w:val="Subst"/>
          <w:bCs/>
          <w:iCs/>
        </w:rPr>
        <w:t>Иных поставщиков, имеющих для эмитента существенное значение, нет</w:t>
      </w:r>
    </w:p>
    <w:p w14:paraId="61B4905E" w14:textId="77777777" w:rsidR="004F7BFA" w:rsidRPr="002419E5" w:rsidRDefault="004F7BFA">
      <w:pPr>
        <w:pStyle w:val="2"/>
      </w:pPr>
      <w:r w:rsidRPr="002419E5">
        <w:t>1.6. Сведения об основных дебиторах эмитента</w:t>
      </w:r>
    </w:p>
    <w:p w14:paraId="671360BB" w14:textId="77777777" w:rsidR="004F7BFA" w:rsidRPr="002419E5" w:rsidRDefault="004F7BFA">
      <w:pPr>
        <w:ind w:left="200"/>
      </w:pPr>
      <w:r w:rsidRPr="002419E5">
        <w:t>Информация настоящего пункта раскрывается на основе данных консолидированной финансовой отчётности</w:t>
      </w:r>
    </w:p>
    <w:p w14:paraId="6D72C610" w14:textId="77777777" w:rsidR="004F7BFA" w:rsidRPr="002419E5" w:rsidRDefault="004F7BFA">
      <w:pPr>
        <w:ind w:left="200"/>
      </w:pPr>
    </w:p>
    <w:p w14:paraId="672555BC" w14:textId="77777777" w:rsidR="004F7BFA" w:rsidRPr="002419E5" w:rsidRDefault="004F7BFA">
      <w:pPr>
        <w:ind w:left="200"/>
      </w:pPr>
      <w:r w:rsidRPr="002419E5">
        <w:t xml:space="preserve">Уровень существенности дебиторской задолженности, приходящейся на </w:t>
      </w:r>
      <w:proofErr w:type="spellStart"/>
      <w:r w:rsidRPr="002419E5">
        <w:t>внешнегрупповых</w:t>
      </w:r>
      <w:proofErr w:type="spellEnd"/>
      <w:r w:rsidRPr="002419E5">
        <w:t xml:space="preserve"> дебиторов:</w:t>
      </w:r>
      <w:r w:rsidRPr="002419E5">
        <w:rPr>
          <w:rStyle w:val="Subst"/>
          <w:bCs/>
          <w:iCs/>
        </w:rPr>
        <w:t xml:space="preserve"> 10 процентов от общей суммы дебиторской задолженности, приходящейся на </w:t>
      </w:r>
      <w:proofErr w:type="spellStart"/>
      <w:r w:rsidRPr="002419E5">
        <w:rPr>
          <w:rStyle w:val="Subst"/>
          <w:bCs/>
          <w:iCs/>
        </w:rPr>
        <w:t>внешнегрупповых</w:t>
      </w:r>
      <w:proofErr w:type="spellEnd"/>
      <w:r w:rsidRPr="002419E5">
        <w:rPr>
          <w:rStyle w:val="Subst"/>
          <w:bCs/>
          <w:iCs/>
        </w:rPr>
        <w:t xml:space="preserve"> дебиторов</w:t>
      </w:r>
    </w:p>
    <w:p w14:paraId="1E570C4D" w14:textId="77777777" w:rsidR="0025143B" w:rsidRPr="002419E5" w:rsidRDefault="004F7BFA">
      <w:pPr>
        <w:ind w:left="200"/>
        <w:rPr>
          <w:rStyle w:val="Subst"/>
          <w:bCs/>
          <w:iCs/>
        </w:rPr>
      </w:pPr>
      <w:r w:rsidRPr="002419E5">
        <w:t xml:space="preserve">Объем и (или) доля дебиторской задолженности, приходящейся на дебиторов, входящих в группу эмитента, и на </w:t>
      </w:r>
      <w:proofErr w:type="spellStart"/>
      <w:r w:rsidRPr="002419E5">
        <w:t>внешнегрупповых</w:t>
      </w:r>
      <w:proofErr w:type="spellEnd"/>
      <w:r w:rsidRPr="002419E5">
        <w:t xml:space="preserve"> дебиторов:</w:t>
      </w:r>
      <w:r w:rsidRPr="002419E5">
        <w:rPr>
          <w:rStyle w:val="Subst"/>
          <w:bCs/>
          <w:iCs/>
        </w:rPr>
        <w:t xml:space="preserve"> </w:t>
      </w:r>
    </w:p>
    <w:p w14:paraId="0C7FBB3F" w14:textId="77777777" w:rsidR="0025143B" w:rsidRPr="002419E5" w:rsidRDefault="004F7BFA">
      <w:pPr>
        <w:ind w:left="200"/>
        <w:rPr>
          <w:rStyle w:val="Subst"/>
          <w:bCs/>
          <w:iCs/>
        </w:rPr>
      </w:pPr>
      <w:r w:rsidRPr="002419E5">
        <w:rPr>
          <w:rStyle w:val="Subst"/>
          <w:bCs/>
          <w:iCs/>
        </w:rPr>
        <w:t xml:space="preserve">Доля дебиторской задолженности, приходящейся на дебиторов, входящих в группу эмитента - 0%. </w:t>
      </w:r>
    </w:p>
    <w:p w14:paraId="1B3F0820" w14:textId="77777777" w:rsidR="004F7BFA" w:rsidRPr="002419E5" w:rsidRDefault="004F7BFA">
      <w:pPr>
        <w:ind w:left="200"/>
      </w:pPr>
      <w:r w:rsidRPr="002419E5">
        <w:rPr>
          <w:rStyle w:val="Subst"/>
          <w:bCs/>
          <w:iCs/>
        </w:rPr>
        <w:t xml:space="preserve">Доля дебиторской задолженности, приходящейся на </w:t>
      </w:r>
      <w:proofErr w:type="spellStart"/>
      <w:r w:rsidRPr="002419E5">
        <w:rPr>
          <w:rStyle w:val="Subst"/>
          <w:bCs/>
          <w:iCs/>
        </w:rPr>
        <w:t>внешнегрупповых</w:t>
      </w:r>
      <w:proofErr w:type="spellEnd"/>
      <w:r w:rsidRPr="002419E5">
        <w:rPr>
          <w:rStyle w:val="Subst"/>
          <w:bCs/>
          <w:iCs/>
        </w:rPr>
        <w:t xml:space="preserve"> дебиторов - 100%.</w:t>
      </w:r>
    </w:p>
    <w:p w14:paraId="5C277BDB" w14:textId="77777777" w:rsidR="004F7BFA" w:rsidRPr="002419E5" w:rsidRDefault="004F7BFA">
      <w:pPr>
        <w:pStyle w:val="SubHeading"/>
        <w:ind w:left="200"/>
      </w:pPr>
      <w:r w:rsidRPr="002419E5">
        <w:t xml:space="preserve">Основные дебиторы, имеющие для </w:t>
      </w:r>
      <w:proofErr w:type="gramStart"/>
      <w:r w:rsidRPr="002419E5">
        <w:t>эмитента(</w:t>
      </w:r>
      <w:proofErr w:type="gramEnd"/>
      <w:r w:rsidRPr="002419E5">
        <w:t>группы эмитента) существенное значение, подпадающие под определенный эмитентом уровень существенности</w:t>
      </w:r>
    </w:p>
    <w:p w14:paraId="2F3C9044" w14:textId="77777777" w:rsidR="0025143B" w:rsidRPr="002419E5" w:rsidRDefault="0025143B" w:rsidP="0025143B">
      <w:pPr>
        <w:pStyle w:val="SubHeading"/>
        <w:ind w:left="200"/>
        <w:rPr>
          <w:b/>
        </w:rPr>
      </w:pPr>
      <w:r w:rsidRPr="002419E5">
        <w:rPr>
          <w:b/>
          <w:bCs/>
          <w:i/>
          <w:iCs/>
        </w:rPr>
        <w:t>Информация не раскрывается по основаниям, предусмотренным действующим законодательством</w:t>
      </w:r>
    </w:p>
    <w:p w14:paraId="41775D04" w14:textId="77777777" w:rsidR="004F7BFA" w:rsidRPr="002419E5" w:rsidRDefault="004F7BFA">
      <w:pPr>
        <w:pStyle w:val="SubHeading"/>
        <w:ind w:left="200"/>
      </w:pPr>
      <w:r w:rsidRPr="002419E5">
        <w:lastRenderedPageBreak/>
        <w:t>Иные дебиторы, имеющие для эмитента существенное значение</w:t>
      </w:r>
    </w:p>
    <w:p w14:paraId="1B3833E7" w14:textId="77777777" w:rsidR="004F7BFA" w:rsidRPr="002419E5" w:rsidRDefault="004F7BFA">
      <w:pPr>
        <w:ind w:left="400"/>
      </w:pPr>
      <w:r w:rsidRPr="002419E5">
        <w:rPr>
          <w:rStyle w:val="Subst"/>
          <w:bCs/>
          <w:iCs/>
        </w:rPr>
        <w:t>Иных дебиторов, имеющих для эмитента существенное значение, нет</w:t>
      </w:r>
    </w:p>
    <w:p w14:paraId="562BE967" w14:textId="77777777" w:rsidR="004F7BFA" w:rsidRPr="002419E5" w:rsidRDefault="004F7BFA">
      <w:pPr>
        <w:pStyle w:val="2"/>
      </w:pPr>
      <w:r w:rsidRPr="002419E5">
        <w:t>1.7. Сведения об обязательствах эмитента</w:t>
      </w:r>
    </w:p>
    <w:p w14:paraId="6DA5EF01" w14:textId="77777777" w:rsidR="004F7BFA" w:rsidRPr="002419E5" w:rsidRDefault="004F7BFA">
      <w:pPr>
        <w:pStyle w:val="2"/>
      </w:pPr>
      <w:r w:rsidRPr="002419E5">
        <w:t>1.7.1. Сведения об основных кредиторах эмитента</w:t>
      </w:r>
    </w:p>
    <w:p w14:paraId="11CEEA5C" w14:textId="77777777" w:rsidR="004F7BFA" w:rsidRPr="002419E5" w:rsidRDefault="004F7BFA">
      <w:pPr>
        <w:ind w:left="200"/>
      </w:pPr>
      <w:r w:rsidRPr="002419E5">
        <w:rPr>
          <w:rStyle w:val="Subst"/>
          <w:bCs/>
          <w:iCs/>
        </w:rPr>
        <w:t>Информация настоящего пункта раскрывается на основе данных консолидированной финансовой отчётности</w:t>
      </w:r>
    </w:p>
    <w:p w14:paraId="4A017B9A" w14:textId="77777777" w:rsidR="004F7BFA" w:rsidRPr="002419E5" w:rsidRDefault="004F7BFA">
      <w:pPr>
        <w:ind w:left="200"/>
      </w:pPr>
    </w:p>
    <w:p w14:paraId="35EF94EB" w14:textId="77777777" w:rsidR="004F7BFA" w:rsidRPr="002419E5" w:rsidRDefault="004F7BFA">
      <w:pPr>
        <w:ind w:left="200"/>
      </w:pPr>
      <w:r w:rsidRPr="002419E5">
        <w:t xml:space="preserve">Уровень существенности кредиторской задолженности, приходящейся на </w:t>
      </w:r>
      <w:proofErr w:type="spellStart"/>
      <w:r w:rsidRPr="002419E5">
        <w:t>внешнегрупповых</w:t>
      </w:r>
      <w:proofErr w:type="spellEnd"/>
      <w:r w:rsidRPr="002419E5">
        <w:t xml:space="preserve"> кредиторов:</w:t>
      </w:r>
      <w:r w:rsidRPr="002419E5">
        <w:rPr>
          <w:rStyle w:val="Subst"/>
          <w:bCs/>
          <w:iCs/>
        </w:rPr>
        <w:t xml:space="preserve"> 10 процентов от суммы кредиторской задолженности, приходящейся на </w:t>
      </w:r>
      <w:proofErr w:type="spellStart"/>
      <w:r w:rsidRPr="002419E5">
        <w:rPr>
          <w:rStyle w:val="Subst"/>
          <w:bCs/>
          <w:iCs/>
        </w:rPr>
        <w:t>внешнегрупповых</w:t>
      </w:r>
      <w:proofErr w:type="spellEnd"/>
      <w:r w:rsidRPr="002419E5">
        <w:rPr>
          <w:rStyle w:val="Subst"/>
          <w:bCs/>
          <w:iCs/>
        </w:rPr>
        <w:t xml:space="preserve"> кредиторов</w:t>
      </w:r>
    </w:p>
    <w:p w14:paraId="4330CA45" w14:textId="77777777" w:rsidR="0025143B" w:rsidRPr="002419E5" w:rsidRDefault="004F7BFA">
      <w:pPr>
        <w:ind w:left="200"/>
        <w:rPr>
          <w:rStyle w:val="Subst"/>
          <w:bCs/>
          <w:iCs/>
        </w:rPr>
      </w:pPr>
      <w:r w:rsidRPr="002419E5">
        <w:t xml:space="preserve">Объем и (или) доля кредиторской задолженности, приходящейся на кредиторов, входящих в группу эмитента, и на </w:t>
      </w:r>
      <w:proofErr w:type="spellStart"/>
      <w:r w:rsidRPr="002419E5">
        <w:t>внешнегрупповых</w:t>
      </w:r>
      <w:proofErr w:type="spellEnd"/>
      <w:r w:rsidRPr="002419E5">
        <w:t xml:space="preserve"> кредиторов:</w:t>
      </w:r>
      <w:r w:rsidRPr="002419E5">
        <w:rPr>
          <w:rStyle w:val="Subst"/>
          <w:bCs/>
          <w:iCs/>
        </w:rPr>
        <w:t xml:space="preserve"> </w:t>
      </w:r>
    </w:p>
    <w:p w14:paraId="41CC9D2C" w14:textId="77777777" w:rsidR="0025143B" w:rsidRPr="002419E5" w:rsidRDefault="004F7BFA">
      <w:pPr>
        <w:ind w:left="200"/>
        <w:rPr>
          <w:rStyle w:val="Subst"/>
          <w:bCs/>
          <w:iCs/>
        </w:rPr>
      </w:pPr>
      <w:r w:rsidRPr="002419E5">
        <w:rPr>
          <w:rStyle w:val="Subst"/>
          <w:bCs/>
          <w:iCs/>
        </w:rPr>
        <w:t xml:space="preserve">Доля кредиторской задолженности, приходящейся на кредиторов, входящих в группу эмитента - 0%. </w:t>
      </w:r>
    </w:p>
    <w:p w14:paraId="61B66E3C" w14:textId="77777777" w:rsidR="004F7BFA" w:rsidRPr="002419E5" w:rsidRDefault="004F7BFA">
      <w:pPr>
        <w:ind w:left="200"/>
      </w:pPr>
      <w:r w:rsidRPr="002419E5">
        <w:rPr>
          <w:rStyle w:val="Subst"/>
          <w:bCs/>
          <w:iCs/>
        </w:rPr>
        <w:t xml:space="preserve">Доля кредиторской задолженности, приходящейся на </w:t>
      </w:r>
      <w:proofErr w:type="spellStart"/>
      <w:r w:rsidRPr="002419E5">
        <w:rPr>
          <w:rStyle w:val="Subst"/>
          <w:bCs/>
          <w:iCs/>
        </w:rPr>
        <w:t>внешнегрупповых</w:t>
      </w:r>
      <w:proofErr w:type="spellEnd"/>
      <w:r w:rsidRPr="002419E5">
        <w:rPr>
          <w:rStyle w:val="Subst"/>
          <w:bCs/>
          <w:iCs/>
        </w:rPr>
        <w:t xml:space="preserve"> кредиторов - 100%.</w:t>
      </w:r>
    </w:p>
    <w:p w14:paraId="2EAFD80D" w14:textId="2395F2FB" w:rsidR="004F7BFA" w:rsidRPr="002419E5" w:rsidRDefault="004F7BFA">
      <w:pPr>
        <w:pStyle w:val="SubHeading"/>
        <w:ind w:left="200"/>
      </w:pPr>
      <w:r w:rsidRPr="002419E5">
        <w:t>Основные кредиторы, имеющие для эмитента (группы эмитента) существенное значение</w:t>
      </w:r>
    </w:p>
    <w:p w14:paraId="1C2215D9" w14:textId="77777777" w:rsidR="0025143B" w:rsidRPr="002419E5" w:rsidRDefault="0025143B" w:rsidP="0025143B">
      <w:pPr>
        <w:pStyle w:val="SubHeading"/>
        <w:ind w:left="200"/>
        <w:rPr>
          <w:b/>
        </w:rPr>
      </w:pPr>
      <w:r w:rsidRPr="002419E5">
        <w:rPr>
          <w:b/>
          <w:bCs/>
          <w:i/>
          <w:iCs/>
        </w:rPr>
        <w:t>Информация не раскрывается по основаниям, предусмотренным действующим законодательством</w:t>
      </w:r>
    </w:p>
    <w:p w14:paraId="62ACDD94" w14:textId="77777777" w:rsidR="004F7BFA" w:rsidRPr="002419E5" w:rsidRDefault="004F7BFA">
      <w:pPr>
        <w:pStyle w:val="SubHeading"/>
        <w:ind w:left="200"/>
      </w:pPr>
      <w:r w:rsidRPr="002419E5">
        <w:t>Иные кредиторы, имеющие для эмитента существенное значение</w:t>
      </w:r>
    </w:p>
    <w:p w14:paraId="1CBD5601" w14:textId="77777777" w:rsidR="004F7BFA" w:rsidRPr="002419E5" w:rsidRDefault="004F7BFA">
      <w:pPr>
        <w:ind w:left="400"/>
      </w:pPr>
      <w:r w:rsidRPr="002419E5">
        <w:rPr>
          <w:rStyle w:val="Subst"/>
          <w:bCs/>
          <w:iCs/>
        </w:rPr>
        <w:t>Иных кредиторов, имеющих для эмитента существенное значение, нет</w:t>
      </w:r>
    </w:p>
    <w:p w14:paraId="269912AC" w14:textId="77777777" w:rsidR="004F7BFA" w:rsidRPr="002419E5" w:rsidRDefault="004F7BFA">
      <w:pPr>
        <w:pStyle w:val="2"/>
      </w:pPr>
      <w:r w:rsidRPr="002419E5">
        <w:t>1.7.2. Сведения об обязательствах эмитента из предоставленного обеспечения</w:t>
      </w:r>
    </w:p>
    <w:p w14:paraId="596E0DB3" w14:textId="77777777" w:rsidR="004F7BFA" w:rsidRPr="002419E5" w:rsidRDefault="004F7BFA">
      <w:pPr>
        <w:ind w:left="200"/>
      </w:pPr>
      <w:r w:rsidRPr="002419E5">
        <w:t>Информация настоящего пункта раскрывается на основе данных консолидированной финансовой отчётности</w:t>
      </w:r>
    </w:p>
    <w:p w14:paraId="6E107539" w14:textId="77777777" w:rsidR="004F7BFA" w:rsidRPr="002419E5" w:rsidRDefault="004F7BFA">
      <w:pPr>
        <w:ind w:left="200"/>
      </w:pPr>
      <w:r w:rsidRPr="002419E5">
        <w:rPr>
          <w:rStyle w:val="Subst"/>
          <w:bCs/>
          <w:iCs/>
        </w:rPr>
        <w:t>Информация настоящего пункта раскрывается на основе данных консолидированной финансовой отчётности</w:t>
      </w:r>
    </w:p>
    <w:p w14:paraId="00EE39D8" w14:textId="77777777" w:rsidR="004F7BFA" w:rsidRPr="002419E5" w:rsidRDefault="004F7BFA">
      <w:pPr>
        <w:ind w:left="200"/>
      </w:pPr>
    </w:p>
    <w:p w14:paraId="4E2DC260" w14:textId="77777777" w:rsidR="004F7BFA" w:rsidRPr="002419E5" w:rsidRDefault="004F7BFA">
      <w:pPr>
        <w:ind w:left="200"/>
      </w:pPr>
      <w:r w:rsidRPr="002419E5">
        <w:t>Единица измерения:</w:t>
      </w:r>
      <w:r w:rsidRPr="002419E5">
        <w:rPr>
          <w:rStyle w:val="Subst"/>
          <w:bCs/>
          <w:iCs/>
        </w:rPr>
        <w:t xml:space="preserve"> тыс. руб.</w:t>
      </w:r>
    </w:p>
    <w:p w14:paraId="4C86AB7A" w14:textId="77777777" w:rsidR="004F7BFA" w:rsidRPr="002419E5" w:rsidRDefault="004F7BFA">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4F7BFA" w:rsidRPr="002419E5" w14:paraId="39C11008" w14:textId="77777777">
        <w:tc>
          <w:tcPr>
            <w:tcW w:w="5572" w:type="dxa"/>
            <w:tcBorders>
              <w:top w:val="double" w:sz="6" w:space="0" w:color="auto"/>
              <w:left w:val="double" w:sz="6" w:space="0" w:color="auto"/>
              <w:bottom w:val="single" w:sz="6" w:space="0" w:color="auto"/>
              <w:right w:val="single" w:sz="6" w:space="0" w:color="auto"/>
            </w:tcBorders>
          </w:tcPr>
          <w:p w14:paraId="656D3B03" w14:textId="77777777" w:rsidR="004F7BFA" w:rsidRPr="002419E5" w:rsidRDefault="004F7BFA">
            <w:pPr>
              <w:jc w:val="center"/>
            </w:pPr>
            <w:r w:rsidRPr="002419E5">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14:paraId="2A7DDE2C" w14:textId="77777777" w:rsidR="004F7BFA" w:rsidRPr="002419E5" w:rsidRDefault="004F7BFA">
            <w:pPr>
              <w:jc w:val="center"/>
            </w:pPr>
            <w:r w:rsidRPr="002419E5">
              <w:t>На  31.12.2024 г.</w:t>
            </w:r>
          </w:p>
        </w:tc>
      </w:tr>
      <w:tr w:rsidR="004F7BFA" w:rsidRPr="002419E5" w14:paraId="0177F5A3" w14:textId="77777777">
        <w:tc>
          <w:tcPr>
            <w:tcW w:w="5572" w:type="dxa"/>
            <w:tcBorders>
              <w:top w:val="single" w:sz="6" w:space="0" w:color="auto"/>
              <w:left w:val="double" w:sz="6" w:space="0" w:color="auto"/>
              <w:bottom w:val="single" w:sz="6" w:space="0" w:color="auto"/>
              <w:right w:val="single" w:sz="6" w:space="0" w:color="auto"/>
            </w:tcBorders>
          </w:tcPr>
          <w:p w14:paraId="3E90D8C6" w14:textId="77777777" w:rsidR="004F7BFA" w:rsidRPr="002419E5" w:rsidRDefault="004F7BFA">
            <w:r w:rsidRPr="002419E5">
              <w:t>Размер обеспечения, предоставленного лицами, входящими в группу эмитента, лицам, не входящим в нее</w:t>
            </w:r>
          </w:p>
        </w:tc>
        <w:tc>
          <w:tcPr>
            <w:tcW w:w="3680" w:type="dxa"/>
            <w:tcBorders>
              <w:top w:val="single" w:sz="6" w:space="0" w:color="auto"/>
              <w:left w:val="single" w:sz="6" w:space="0" w:color="auto"/>
              <w:bottom w:val="single" w:sz="6" w:space="0" w:color="auto"/>
              <w:right w:val="double" w:sz="6" w:space="0" w:color="auto"/>
            </w:tcBorders>
          </w:tcPr>
          <w:p w14:paraId="55D903E9" w14:textId="77777777" w:rsidR="004F7BFA" w:rsidRPr="002419E5" w:rsidRDefault="004F7BFA">
            <w:pPr>
              <w:jc w:val="right"/>
            </w:pPr>
            <w:r w:rsidRPr="002419E5">
              <w:t>65 560 789</w:t>
            </w:r>
          </w:p>
        </w:tc>
      </w:tr>
      <w:tr w:rsidR="004F7BFA" w:rsidRPr="002419E5" w14:paraId="373AC754" w14:textId="77777777">
        <w:tc>
          <w:tcPr>
            <w:tcW w:w="5572" w:type="dxa"/>
            <w:tcBorders>
              <w:top w:val="single" w:sz="6" w:space="0" w:color="auto"/>
              <w:left w:val="double" w:sz="6" w:space="0" w:color="auto"/>
              <w:bottom w:val="single" w:sz="6" w:space="0" w:color="auto"/>
              <w:right w:val="single" w:sz="6" w:space="0" w:color="auto"/>
            </w:tcBorders>
          </w:tcPr>
          <w:p w14:paraId="72172895" w14:textId="77777777" w:rsidR="004F7BFA" w:rsidRPr="002419E5" w:rsidRDefault="004F7BFA">
            <w:r w:rsidRPr="002419E5">
              <w:t>- в том числе в форме залога:</w:t>
            </w:r>
          </w:p>
        </w:tc>
        <w:tc>
          <w:tcPr>
            <w:tcW w:w="3680" w:type="dxa"/>
            <w:tcBorders>
              <w:top w:val="single" w:sz="6" w:space="0" w:color="auto"/>
              <w:left w:val="single" w:sz="6" w:space="0" w:color="auto"/>
              <w:bottom w:val="single" w:sz="6" w:space="0" w:color="auto"/>
              <w:right w:val="double" w:sz="6" w:space="0" w:color="auto"/>
            </w:tcBorders>
          </w:tcPr>
          <w:p w14:paraId="7D7CC913" w14:textId="77777777" w:rsidR="004F7BFA" w:rsidRPr="002419E5" w:rsidRDefault="004F7BFA">
            <w:pPr>
              <w:jc w:val="right"/>
            </w:pPr>
            <w:r w:rsidRPr="002419E5">
              <w:t>871 594</w:t>
            </w:r>
          </w:p>
        </w:tc>
      </w:tr>
      <w:tr w:rsidR="004F7BFA" w:rsidRPr="002419E5" w14:paraId="3FC0D661" w14:textId="77777777">
        <w:tc>
          <w:tcPr>
            <w:tcW w:w="5572" w:type="dxa"/>
            <w:tcBorders>
              <w:top w:val="single" w:sz="6" w:space="0" w:color="auto"/>
              <w:left w:val="double" w:sz="6" w:space="0" w:color="auto"/>
              <w:bottom w:val="single" w:sz="6" w:space="0" w:color="auto"/>
              <w:right w:val="single" w:sz="6" w:space="0" w:color="auto"/>
            </w:tcBorders>
          </w:tcPr>
          <w:p w14:paraId="64FDAADE" w14:textId="77777777" w:rsidR="004F7BFA" w:rsidRPr="002419E5" w:rsidRDefault="004F7BFA">
            <w:r w:rsidRPr="002419E5">
              <w:t>- в том числе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14:paraId="7291002E" w14:textId="77777777" w:rsidR="004F7BFA" w:rsidRPr="002419E5" w:rsidRDefault="004F7BFA">
            <w:pPr>
              <w:jc w:val="right"/>
            </w:pPr>
            <w:r w:rsidRPr="002419E5">
              <w:t>64 689 195</w:t>
            </w:r>
          </w:p>
        </w:tc>
      </w:tr>
      <w:tr w:rsidR="004F7BFA" w:rsidRPr="002419E5" w14:paraId="5B1826B9" w14:textId="77777777">
        <w:tc>
          <w:tcPr>
            <w:tcW w:w="5572" w:type="dxa"/>
            <w:tcBorders>
              <w:top w:val="single" w:sz="6" w:space="0" w:color="auto"/>
              <w:left w:val="double" w:sz="6" w:space="0" w:color="auto"/>
              <w:bottom w:val="single" w:sz="6" w:space="0" w:color="auto"/>
              <w:right w:val="single" w:sz="6" w:space="0" w:color="auto"/>
            </w:tcBorders>
          </w:tcPr>
          <w:p w14:paraId="63ED0FD8" w14:textId="77777777" w:rsidR="004F7BFA" w:rsidRPr="002419E5" w:rsidRDefault="004F7BFA">
            <w:r w:rsidRPr="002419E5">
              <w:t>- в том числе в форме независимой гарантии:</w:t>
            </w:r>
          </w:p>
        </w:tc>
        <w:tc>
          <w:tcPr>
            <w:tcW w:w="3680" w:type="dxa"/>
            <w:tcBorders>
              <w:top w:val="single" w:sz="6" w:space="0" w:color="auto"/>
              <w:left w:val="single" w:sz="6" w:space="0" w:color="auto"/>
              <w:bottom w:val="single" w:sz="6" w:space="0" w:color="auto"/>
              <w:right w:val="double" w:sz="6" w:space="0" w:color="auto"/>
            </w:tcBorders>
          </w:tcPr>
          <w:p w14:paraId="1885ABAF" w14:textId="77777777" w:rsidR="004F7BFA" w:rsidRPr="002419E5" w:rsidRDefault="004F7BFA">
            <w:pPr>
              <w:jc w:val="right"/>
            </w:pPr>
            <w:r w:rsidRPr="002419E5">
              <w:t>0</w:t>
            </w:r>
          </w:p>
        </w:tc>
      </w:tr>
      <w:tr w:rsidR="004F7BFA" w:rsidRPr="002419E5" w14:paraId="07E6280B" w14:textId="77777777">
        <w:tc>
          <w:tcPr>
            <w:tcW w:w="5572" w:type="dxa"/>
            <w:tcBorders>
              <w:top w:val="single" w:sz="6" w:space="0" w:color="auto"/>
              <w:left w:val="double" w:sz="6" w:space="0" w:color="auto"/>
              <w:bottom w:val="single" w:sz="6" w:space="0" w:color="auto"/>
              <w:right w:val="single" w:sz="6" w:space="0" w:color="auto"/>
            </w:tcBorders>
          </w:tcPr>
          <w:p w14:paraId="4892725B" w14:textId="77777777" w:rsidR="004F7BFA" w:rsidRPr="002419E5" w:rsidRDefault="004F7BFA">
            <w:r w:rsidRPr="002419E5">
              <w:t>Размер обеспечения, предоставленного лицами, входящими в группу эмитента, иным лицам, входящим в группу эмитента</w:t>
            </w:r>
          </w:p>
        </w:tc>
        <w:tc>
          <w:tcPr>
            <w:tcW w:w="3680" w:type="dxa"/>
            <w:tcBorders>
              <w:top w:val="single" w:sz="6" w:space="0" w:color="auto"/>
              <w:left w:val="single" w:sz="6" w:space="0" w:color="auto"/>
              <w:bottom w:val="single" w:sz="6" w:space="0" w:color="auto"/>
              <w:right w:val="double" w:sz="6" w:space="0" w:color="auto"/>
            </w:tcBorders>
          </w:tcPr>
          <w:p w14:paraId="3539DD28" w14:textId="77777777" w:rsidR="004F7BFA" w:rsidRPr="002419E5" w:rsidRDefault="00C75430" w:rsidP="00C75430">
            <w:pPr>
              <w:jc w:val="right"/>
            </w:pPr>
            <w:r w:rsidRPr="002419E5">
              <w:t>0</w:t>
            </w:r>
          </w:p>
        </w:tc>
      </w:tr>
      <w:tr w:rsidR="004F7BFA" w:rsidRPr="002419E5" w14:paraId="6292FC80" w14:textId="77777777">
        <w:tc>
          <w:tcPr>
            <w:tcW w:w="5572" w:type="dxa"/>
            <w:tcBorders>
              <w:top w:val="single" w:sz="6" w:space="0" w:color="auto"/>
              <w:left w:val="double" w:sz="6" w:space="0" w:color="auto"/>
              <w:bottom w:val="single" w:sz="6" w:space="0" w:color="auto"/>
              <w:right w:val="single" w:sz="6" w:space="0" w:color="auto"/>
            </w:tcBorders>
          </w:tcPr>
          <w:p w14:paraId="239ADFAD" w14:textId="77777777" w:rsidR="004F7BFA" w:rsidRPr="002419E5" w:rsidRDefault="004F7BFA">
            <w:r w:rsidRPr="002419E5">
              <w:t>- в том числе в форме залога:</w:t>
            </w:r>
          </w:p>
        </w:tc>
        <w:tc>
          <w:tcPr>
            <w:tcW w:w="3680" w:type="dxa"/>
            <w:tcBorders>
              <w:top w:val="single" w:sz="6" w:space="0" w:color="auto"/>
              <w:left w:val="single" w:sz="6" w:space="0" w:color="auto"/>
              <w:bottom w:val="single" w:sz="6" w:space="0" w:color="auto"/>
              <w:right w:val="double" w:sz="6" w:space="0" w:color="auto"/>
            </w:tcBorders>
          </w:tcPr>
          <w:p w14:paraId="0783B3BD" w14:textId="77777777" w:rsidR="004F7BFA" w:rsidRPr="002419E5" w:rsidRDefault="00C75430" w:rsidP="00C75430">
            <w:pPr>
              <w:jc w:val="right"/>
            </w:pPr>
            <w:r w:rsidRPr="002419E5">
              <w:t>0</w:t>
            </w:r>
          </w:p>
        </w:tc>
      </w:tr>
      <w:tr w:rsidR="004F7BFA" w:rsidRPr="002419E5" w14:paraId="40FB4845" w14:textId="77777777">
        <w:tc>
          <w:tcPr>
            <w:tcW w:w="5572" w:type="dxa"/>
            <w:tcBorders>
              <w:top w:val="single" w:sz="6" w:space="0" w:color="auto"/>
              <w:left w:val="double" w:sz="6" w:space="0" w:color="auto"/>
              <w:bottom w:val="single" w:sz="6" w:space="0" w:color="auto"/>
              <w:right w:val="single" w:sz="6" w:space="0" w:color="auto"/>
            </w:tcBorders>
          </w:tcPr>
          <w:p w14:paraId="3BEDA619" w14:textId="77777777" w:rsidR="004F7BFA" w:rsidRPr="002419E5" w:rsidRDefault="004F7BFA">
            <w:r w:rsidRPr="002419E5">
              <w:t>- в том числе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14:paraId="2709E0A1" w14:textId="77777777" w:rsidR="004F7BFA" w:rsidRPr="002419E5" w:rsidRDefault="00C75430" w:rsidP="00C75430">
            <w:pPr>
              <w:jc w:val="right"/>
            </w:pPr>
            <w:r w:rsidRPr="002419E5">
              <w:t>0</w:t>
            </w:r>
          </w:p>
        </w:tc>
      </w:tr>
      <w:tr w:rsidR="004F7BFA" w:rsidRPr="002419E5" w14:paraId="420C1E60" w14:textId="77777777">
        <w:tc>
          <w:tcPr>
            <w:tcW w:w="5572" w:type="dxa"/>
            <w:tcBorders>
              <w:top w:val="single" w:sz="6" w:space="0" w:color="auto"/>
              <w:left w:val="double" w:sz="6" w:space="0" w:color="auto"/>
              <w:bottom w:val="double" w:sz="6" w:space="0" w:color="auto"/>
              <w:right w:val="single" w:sz="6" w:space="0" w:color="auto"/>
            </w:tcBorders>
          </w:tcPr>
          <w:p w14:paraId="0310595C" w14:textId="77777777" w:rsidR="004F7BFA" w:rsidRPr="002419E5" w:rsidRDefault="004F7BFA">
            <w:r w:rsidRPr="002419E5">
              <w:t>- в том числе в форме независимой гарантии:</w:t>
            </w:r>
          </w:p>
        </w:tc>
        <w:tc>
          <w:tcPr>
            <w:tcW w:w="3680" w:type="dxa"/>
            <w:tcBorders>
              <w:top w:val="single" w:sz="6" w:space="0" w:color="auto"/>
              <w:left w:val="single" w:sz="6" w:space="0" w:color="auto"/>
              <w:bottom w:val="double" w:sz="6" w:space="0" w:color="auto"/>
              <w:right w:val="double" w:sz="6" w:space="0" w:color="auto"/>
            </w:tcBorders>
          </w:tcPr>
          <w:p w14:paraId="2540CD2E" w14:textId="77777777" w:rsidR="004F7BFA" w:rsidRPr="002419E5" w:rsidRDefault="00C75430" w:rsidP="00C75430">
            <w:pPr>
              <w:jc w:val="right"/>
            </w:pPr>
            <w:r w:rsidRPr="002419E5">
              <w:t>0</w:t>
            </w:r>
          </w:p>
        </w:tc>
      </w:tr>
    </w:tbl>
    <w:p w14:paraId="65F63059" w14:textId="77777777" w:rsidR="004F7BFA" w:rsidRPr="002419E5" w:rsidRDefault="004F7BFA"/>
    <w:p w14:paraId="30A9C09E" w14:textId="77777777" w:rsidR="004F7BFA" w:rsidRPr="002419E5" w:rsidRDefault="004F7BFA">
      <w:pPr>
        <w:ind w:left="200"/>
      </w:pPr>
      <w:r w:rsidRPr="002419E5">
        <w:t>Уровень существенности размера предоставленного обеспечения:</w:t>
      </w:r>
      <w:r w:rsidRPr="002419E5">
        <w:rPr>
          <w:rStyle w:val="Subst"/>
          <w:bCs/>
          <w:iCs/>
        </w:rPr>
        <w:t xml:space="preserve"> 10 процентов от размера обеспечения, предоставленного организациями, входящими в группу эмитента, лицам, не входящим в группу эмитента.</w:t>
      </w:r>
    </w:p>
    <w:p w14:paraId="7B4F31A8" w14:textId="77777777" w:rsidR="004F7BFA" w:rsidRPr="002419E5" w:rsidRDefault="004F7BFA">
      <w:pPr>
        <w:pStyle w:val="SubHeading"/>
        <w:ind w:left="200"/>
      </w:pPr>
      <w:r w:rsidRPr="002419E5">
        <w:t>Сделки по предоставлению обеспечения, имеющие для эмитента (группы эмитента) существенное значение</w:t>
      </w:r>
    </w:p>
    <w:p w14:paraId="2830E614" w14:textId="77777777" w:rsidR="004F7BFA" w:rsidRPr="002419E5" w:rsidRDefault="004F7BFA">
      <w:pPr>
        <w:ind w:left="400"/>
      </w:pPr>
      <w:r w:rsidRPr="002419E5">
        <w:t>Размер предоставленного обеспечения:</w:t>
      </w:r>
      <w:r w:rsidRPr="002419E5">
        <w:rPr>
          <w:rStyle w:val="Subst"/>
          <w:bCs/>
          <w:iCs/>
        </w:rPr>
        <w:t xml:space="preserve"> 64 147 542</w:t>
      </w:r>
    </w:p>
    <w:p w14:paraId="76F76467" w14:textId="77777777" w:rsidR="004F7BFA" w:rsidRPr="002419E5" w:rsidRDefault="004F7BFA">
      <w:pPr>
        <w:ind w:left="400"/>
      </w:pPr>
      <w:r w:rsidRPr="002419E5">
        <w:t>Единица измерения:</w:t>
      </w:r>
      <w:r w:rsidRPr="002419E5">
        <w:rPr>
          <w:rStyle w:val="Subst"/>
          <w:bCs/>
          <w:iCs/>
        </w:rPr>
        <w:t xml:space="preserve"> тыс. руб.</w:t>
      </w:r>
    </w:p>
    <w:p w14:paraId="252073DD" w14:textId="77777777" w:rsidR="00E71472" w:rsidRPr="002419E5" w:rsidRDefault="00E71472" w:rsidP="00E71472">
      <w:pPr>
        <w:ind w:left="200"/>
        <w:rPr>
          <w:b/>
          <w:i/>
        </w:rPr>
      </w:pPr>
    </w:p>
    <w:p w14:paraId="6909B77B" w14:textId="77777777" w:rsidR="00E71472" w:rsidRPr="002419E5" w:rsidRDefault="00E71472" w:rsidP="00E71472">
      <w:pPr>
        <w:ind w:left="200"/>
      </w:pPr>
      <w:r w:rsidRPr="002419E5">
        <w:rPr>
          <w:b/>
          <w:i/>
        </w:rPr>
        <w:t>Информация в разделе 1.7.2. отчета эмитента раскрывается с ограничениями по основаниям, предусмотренным действующим законодательством</w:t>
      </w:r>
    </w:p>
    <w:p w14:paraId="34D0CD7D" w14:textId="77777777" w:rsidR="004F7BFA" w:rsidRPr="002419E5" w:rsidRDefault="004F7BFA">
      <w:pPr>
        <w:pStyle w:val="2"/>
      </w:pPr>
      <w:r w:rsidRPr="002419E5">
        <w:t>1.7.3. Сведения о прочих существенных обязательствах эмитента</w:t>
      </w:r>
    </w:p>
    <w:p w14:paraId="49680C27" w14:textId="77777777" w:rsidR="004F7BFA" w:rsidRPr="002419E5" w:rsidRDefault="004F7BFA">
      <w:pPr>
        <w:ind w:left="200"/>
      </w:pPr>
      <w:r w:rsidRPr="002419E5">
        <w:rPr>
          <w:rStyle w:val="Subst"/>
          <w:bCs/>
          <w:iCs/>
        </w:rPr>
        <w:t>Прочих обязательств, которые, по мнению эмитента, могут существенным образом воздействовать на финансовое положение эмитента (группы эмитента), в том числе на ликвидность, источники финансирования и условия их использования, результаты деятельности и расходы, не имеется</w:t>
      </w:r>
    </w:p>
    <w:p w14:paraId="37A7028B" w14:textId="77777777" w:rsidR="004F7BFA" w:rsidRPr="002419E5" w:rsidRDefault="004F7BFA">
      <w:pPr>
        <w:pStyle w:val="2"/>
      </w:pPr>
      <w:r w:rsidRPr="002419E5">
        <w:t>1.8. Сведения о перспективах развития эмитента</w:t>
      </w:r>
    </w:p>
    <w:p w14:paraId="1D196830" w14:textId="77777777" w:rsidR="004F7BFA" w:rsidRPr="002419E5" w:rsidRDefault="004F7BFA">
      <w:pPr>
        <w:ind w:left="200"/>
      </w:pPr>
      <w:r w:rsidRPr="002419E5">
        <w:t>Приводится описание стратегии дальнейшего развития эмитента (а если эмитентом составляется и раскрывается консолидированная финансовая отчетность - стратегии дальнейшего развития группы эмитента) не менее чем на год в отношении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p>
    <w:p w14:paraId="72BEBD2B" w14:textId="77777777" w:rsidR="004F7BFA" w:rsidRPr="002419E5" w:rsidRDefault="004F7BFA">
      <w:pPr>
        <w:ind w:left="200"/>
      </w:pPr>
      <w:r w:rsidRPr="002419E5">
        <w:rPr>
          <w:rStyle w:val="Subst"/>
          <w:bCs/>
          <w:iCs/>
        </w:rPr>
        <w:t>Основная стратегическая цель общества – максимизация прибыли, которая достигается за счет эффективного управления производственными активами.</w:t>
      </w:r>
      <w:r w:rsidRPr="002419E5">
        <w:rPr>
          <w:rStyle w:val="Subst"/>
          <w:bCs/>
          <w:iCs/>
        </w:rPr>
        <w:br/>
        <w:t>Основные стратегические задачи общества:</w:t>
      </w:r>
      <w:r w:rsidRPr="002419E5">
        <w:rPr>
          <w:rStyle w:val="Subst"/>
          <w:bCs/>
          <w:iCs/>
        </w:rPr>
        <w:br/>
        <w:t>- увеличение объемов производства и реализации высокомаржинальной продукции;</w:t>
      </w:r>
      <w:r w:rsidRPr="002419E5">
        <w:rPr>
          <w:rStyle w:val="Subst"/>
          <w:bCs/>
          <w:iCs/>
        </w:rPr>
        <w:br/>
        <w:t>- снижение негативного влияния на окружающую среду;</w:t>
      </w:r>
      <w:r w:rsidRPr="002419E5">
        <w:rPr>
          <w:rStyle w:val="Subst"/>
          <w:bCs/>
          <w:iCs/>
        </w:rPr>
        <w:br/>
        <w:t>- повышение уровня безопасности труда;</w:t>
      </w:r>
      <w:r w:rsidRPr="002419E5">
        <w:rPr>
          <w:rStyle w:val="Subst"/>
          <w:bCs/>
          <w:iCs/>
        </w:rPr>
        <w:br/>
        <w:t>- повышение качества производимой продукции.</w:t>
      </w:r>
      <w:r w:rsidRPr="002419E5">
        <w:rPr>
          <w:rStyle w:val="Subst"/>
          <w:bCs/>
          <w:iCs/>
        </w:rPr>
        <w:br/>
        <w:t>Для достижения данных задач обществом запланирован ряд инвестиционных проектов по улучшению производственных характеристик основного оборудования, планируются к реализации мероприятия, направленные на снижение выбросов в атмосферу и сбросов в водные объекты, повышающие уровень безопасности труда. Также ведется непрерывная работа по совершенствованию технологических процессов, что позволяет снижать издержки и повышать качество производимой продукции.</w:t>
      </w:r>
      <w:r w:rsidRPr="002419E5">
        <w:rPr>
          <w:rStyle w:val="Subst"/>
          <w:bCs/>
          <w:iCs/>
        </w:rPr>
        <w:br/>
        <w:t>Увеличение прямых продаж, наличие широко разветвлённой корпоративной торговой сети в совокупности с восходящим ценовым трендом на металлопрокат, позволит укрепить рыночную позицию общества и улучшить его финансово-экономические показатели.</w:t>
      </w:r>
    </w:p>
    <w:p w14:paraId="1A6C229E" w14:textId="77777777" w:rsidR="004F7BFA" w:rsidRPr="002419E5" w:rsidRDefault="004F7BFA">
      <w:pPr>
        <w:ind w:left="200"/>
      </w:pPr>
    </w:p>
    <w:p w14:paraId="4178D4F3" w14:textId="77777777" w:rsidR="004F7BFA" w:rsidRPr="002419E5" w:rsidRDefault="004F7BFA">
      <w:pPr>
        <w:pStyle w:val="2"/>
      </w:pPr>
      <w:r w:rsidRPr="002419E5">
        <w:t>1.9. Сведения о рисках, связанных с деятельностью эмитента</w:t>
      </w:r>
    </w:p>
    <w:p w14:paraId="538E480A" w14:textId="77777777" w:rsidR="004F7BFA" w:rsidRPr="002419E5" w:rsidRDefault="004F7BFA">
      <w:pPr>
        <w:ind w:left="200"/>
      </w:pPr>
      <w:r w:rsidRPr="002419E5">
        <w:t>Описываются риски, реализация которых может оказать существенное влияние на финансово-хозяйственную деятельность и финансовое положение эмитента, а если эмитентом составляется и раскрывается консолидированная финансовая отчетность, - на финансово-хозяйственную деятельность и финансовое положение группы эмитента.</w:t>
      </w:r>
      <w:r w:rsidRPr="002419E5">
        <w:br/>
        <w:t>Информация, раскрываемая в настоящем пункте, должна объективно и достоверно описывать риски, относящиеся к эмитенту (группе эмитента), с указанием возможных последствий реализации каждого из описанных рисков применительно к эмитенту (группе эмитента) с учетом специфики деятельности эмитента (группы эмитента).</w:t>
      </w:r>
      <w:r w:rsidRPr="002419E5">
        <w:br/>
        <w:t>Для детализированного представления информации эмитент может приводить сведения о рисках в отношении выделяемых сегментов операционной деятельности, видов товаров (работ, услуг), географии ведения бизнеса, иных аспектов, характеризующих специфику деятельности эмитента (группы эмитента).</w:t>
      </w:r>
      <w:r w:rsidRPr="002419E5">
        <w:br/>
      </w:r>
    </w:p>
    <w:p w14:paraId="146E98B4" w14:textId="77777777" w:rsidR="004F7BFA" w:rsidRPr="002419E5" w:rsidRDefault="004F7BFA">
      <w:pPr>
        <w:pStyle w:val="2"/>
      </w:pPr>
      <w:r w:rsidRPr="002419E5">
        <w:t>1.9.1. Отраслевые риски</w:t>
      </w:r>
    </w:p>
    <w:p w14:paraId="71E4E889" w14:textId="77777777" w:rsidR="004F7BFA" w:rsidRPr="002419E5" w:rsidRDefault="004F7BFA">
      <w:pPr>
        <w:ind w:left="200"/>
      </w:pPr>
      <w:r w:rsidRPr="002419E5">
        <w:rPr>
          <w:rStyle w:val="Subst"/>
          <w:bCs/>
          <w:iCs/>
        </w:rPr>
        <w:t>Наиболее значимыми рисками в отрасли, по мнению Эмитента, являются:</w:t>
      </w:r>
      <w:r w:rsidRPr="002419E5">
        <w:rPr>
          <w:rStyle w:val="Subst"/>
          <w:bCs/>
          <w:iCs/>
        </w:rPr>
        <w:br/>
        <w:t>• Изменение спроса на металлопродукцию.</w:t>
      </w:r>
      <w:r w:rsidRPr="002419E5">
        <w:rPr>
          <w:rStyle w:val="Subst"/>
          <w:bCs/>
          <w:iCs/>
        </w:rPr>
        <w:br/>
        <w:t>• Нестабильность цен на сырье.</w:t>
      </w:r>
      <w:r w:rsidRPr="002419E5">
        <w:rPr>
          <w:rStyle w:val="Subst"/>
          <w:bCs/>
          <w:iCs/>
        </w:rPr>
        <w:br/>
        <w:t>• Нестабильность цен на производимую металлопродукцию.</w:t>
      </w:r>
      <w:r w:rsidRPr="002419E5">
        <w:rPr>
          <w:rStyle w:val="Subst"/>
          <w:bCs/>
          <w:iCs/>
        </w:rPr>
        <w:br/>
        <w:t>• Высокая конкуренция на рынке металлопродукции.</w:t>
      </w:r>
      <w:r w:rsidRPr="002419E5">
        <w:rPr>
          <w:rStyle w:val="Subst"/>
          <w:bCs/>
          <w:iCs/>
        </w:rPr>
        <w:br/>
        <w:t>Основными действиями, предпринимаемыми Эмитентом для снижения отраслевых рисков, являются:</w:t>
      </w:r>
      <w:r w:rsidRPr="002419E5">
        <w:rPr>
          <w:rStyle w:val="Subst"/>
          <w:bCs/>
          <w:iCs/>
        </w:rPr>
        <w:br/>
        <w:t>-оптимизация объемов продаж на внутреннем и внешнем рынке с целью снижения рисков;</w:t>
      </w:r>
      <w:r w:rsidRPr="002419E5">
        <w:rPr>
          <w:rStyle w:val="Subst"/>
          <w:bCs/>
          <w:iCs/>
        </w:rPr>
        <w:br/>
        <w:t>-диверсификация рынков сбыта по регионам с целью снижения уровня зависимости от конкретного потребителя или региона;</w:t>
      </w:r>
      <w:r w:rsidRPr="002419E5">
        <w:rPr>
          <w:rStyle w:val="Subst"/>
          <w:bCs/>
          <w:iCs/>
        </w:rPr>
        <w:br/>
      </w:r>
      <w:r w:rsidRPr="002419E5">
        <w:rPr>
          <w:rStyle w:val="Subst"/>
          <w:bCs/>
          <w:iCs/>
        </w:rPr>
        <w:lastRenderedPageBreak/>
        <w:t>-разработка программ по снижению затрат на производство и реализацию продукции;</w:t>
      </w:r>
      <w:r w:rsidRPr="002419E5">
        <w:rPr>
          <w:rStyle w:val="Subst"/>
          <w:bCs/>
          <w:iCs/>
        </w:rPr>
        <w:br/>
        <w:t>-проведение инвестиционной политики в части обновления производственной базы.</w:t>
      </w:r>
      <w:r w:rsidRPr="002419E5">
        <w:rPr>
          <w:rStyle w:val="Subst"/>
          <w:bCs/>
          <w:iCs/>
        </w:rPr>
        <w:br/>
      </w:r>
      <w:r w:rsidRPr="002419E5">
        <w:rPr>
          <w:rStyle w:val="Subst"/>
          <w:bCs/>
          <w:iCs/>
        </w:rPr>
        <w:br/>
        <w:t xml:space="preserve">Рост цен на сырье при прочих равных условиях может привести к снижению прибыли. Действия Эмитента будут направлены на оптимизацию затрат на сырье.  </w:t>
      </w:r>
      <w:r w:rsidRPr="002419E5">
        <w:rPr>
          <w:rStyle w:val="Subst"/>
          <w:bCs/>
          <w:iCs/>
        </w:rPr>
        <w:br/>
      </w:r>
      <w:r w:rsidRPr="002419E5">
        <w:rPr>
          <w:rStyle w:val="Subst"/>
          <w:bCs/>
          <w:iCs/>
        </w:rPr>
        <w:br/>
        <w:t>Снижение цен на металлопродукцию в результате роста конкуренции и/или экономического спада может при прочих равных условиях привести к снижению объема реализации, доли на рынке и прибыли. Действия Эмитента будут направлены на пересмотр отпускных цен на металлопродукцию с учетом изменения рыночных цен конкурентов.</w:t>
      </w:r>
    </w:p>
    <w:p w14:paraId="75B9C3FB" w14:textId="77777777" w:rsidR="004F7BFA" w:rsidRPr="002419E5" w:rsidRDefault="004F7BFA">
      <w:pPr>
        <w:pStyle w:val="2"/>
      </w:pPr>
      <w:r w:rsidRPr="002419E5">
        <w:t>1.9.2. Страновые и региональные риски</w:t>
      </w:r>
    </w:p>
    <w:p w14:paraId="72A069E5" w14:textId="77777777" w:rsidR="004F7BFA" w:rsidRPr="002419E5" w:rsidRDefault="004F7BFA">
      <w:pPr>
        <w:ind w:left="200"/>
      </w:pPr>
      <w:r w:rsidRPr="002419E5">
        <w:rPr>
          <w:rStyle w:val="Subst"/>
          <w:bCs/>
          <w:iCs/>
        </w:rPr>
        <w:t xml:space="preserve">Эмитент ведет производственную деятельность на территории Российской Федерации в Удмуртской Республике и подвержен всем рискам, связанным с политической и экономической ситуацией в стране. </w:t>
      </w:r>
      <w:r w:rsidRPr="002419E5">
        <w:rPr>
          <w:rStyle w:val="Subst"/>
          <w:bCs/>
          <w:iCs/>
        </w:rPr>
        <w:br/>
        <w:t>В случае негативного влияния политической ситуации в стране или регионе на основную деятельность Эмитента, Эмитент предполагает скорректировать свои планы для обеспечения финансовой дисциплины и поддержания стоимости своих акций.</w:t>
      </w:r>
      <w:r w:rsidRPr="002419E5">
        <w:rPr>
          <w:rStyle w:val="Subst"/>
          <w:bCs/>
          <w:iCs/>
        </w:rPr>
        <w:br/>
        <w:t>Географические особенности регионов, в которых осуществляет деятельность Эмитент, не оказывают существенного влияния на деятельность Эмитента. Риски, связанные с опасностью возникновения стихийных бедствий и возможностью прекращения транспортного сообщения, незначительны.</w:t>
      </w:r>
    </w:p>
    <w:p w14:paraId="0F0B5DD2" w14:textId="77777777" w:rsidR="004F7BFA" w:rsidRPr="002419E5" w:rsidRDefault="004F7BFA">
      <w:pPr>
        <w:pStyle w:val="2"/>
      </w:pPr>
      <w:r w:rsidRPr="002419E5">
        <w:t>1.9.3. Финансовые риски</w:t>
      </w:r>
    </w:p>
    <w:p w14:paraId="421AFCDB" w14:textId="77777777" w:rsidR="004F7BFA" w:rsidRPr="002419E5" w:rsidRDefault="004F7BFA">
      <w:pPr>
        <w:ind w:left="200"/>
      </w:pPr>
      <w:r w:rsidRPr="002419E5">
        <w:rPr>
          <w:rStyle w:val="Subst"/>
          <w:bCs/>
          <w:iCs/>
        </w:rPr>
        <w:t>Учитывая виды основной деятельности эмитента, можно сказать, что эмитент подвержен рискам, связанным с изменением ставки рефинансирования, курса евро и доллара, установленных Центральным Банком РФ.</w:t>
      </w:r>
      <w:r w:rsidRPr="002419E5">
        <w:rPr>
          <w:rStyle w:val="Subst"/>
          <w:bCs/>
          <w:iCs/>
        </w:rPr>
        <w:br/>
        <w:t>Эмитент в ходе осуществления своей деятельности производит расчеты в валюте, имеет кредиты, номинированные в иностранной валюте. В результате этого можно сделать вывод о том, что эмитент подвержен колебаниям валютного курса (валютному риску). В частности, понижение курса рубля к иностранной валюте может привести к относительному обесценению рублевых активов эмитента и относительному увеличению обязательств по кредитам в иностранной валюте, а его укрепление - к относительному увеличению затрат, и относительному снижению обязательств эмитента в иностранной валюте.</w:t>
      </w:r>
      <w:r w:rsidRPr="002419E5">
        <w:rPr>
          <w:rStyle w:val="Subst"/>
          <w:bCs/>
          <w:iCs/>
        </w:rPr>
        <w:br/>
        <w:t>Вероятность негативного влияния указанных рисков на результаты деятельности эмитента средняя.</w:t>
      </w:r>
    </w:p>
    <w:p w14:paraId="206346E9" w14:textId="77777777" w:rsidR="004F7BFA" w:rsidRPr="002419E5" w:rsidRDefault="004F7BFA">
      <w:pPr>
        <w:pStyle w:val="2"/>
      </w:pPr>
      <w:r w:rsidRPr="002419E5">
        <w:t>1.9.4. Правовые риски</w:t>
      </w:r>
    </w:p>
    <w:p w14:paraId="1BA41AF5" w14:textId="77777777" w:rsidR="0083435F" w:rsidRPr="002419E5" w:rsidRDefault="0083435F" w:rsidP="0083435F">
      <w:pPr>
        <w:ind w:left="200"/>
      </w:pPr>
      <w:r w:rsidRPr="002419E5">
        <w:rPr>
          <w:rStyle w:val="Subst"/>
        </w:rPr>
        <w:t xml:space="preserve">Деятельность ПАО "Ижсталь" организована и реализуется на принципах полного соблюдения законодательства Российской Федерации по всем направлениям деятельности, в том числе: </w:t>
      </w:r>
      <w:r w:rsidRPr="002419E5">
        <w:rPr>
          <w:rStyle w:val="Subst"/>
        </w:rPr>
        <w:br/>
        <w:t xml:space="preserve">- законодательства о налогах и сборах; </w:t>
      </w:r>
      <w:r w:rsidRPr="002419E5">
        <w:rPr>
          <w:rStyle w:val="Subst"/>
        </w:rPr>
        <w:br/>
        <w:t xml:space="preserve">- законодательства по организации внешнеэкономической деятельности, в том числе в области таможенного контроля и таможенных пошлин; </w:t>
      </w:r>
      <w:r w:rsidRPr="002419E5">
        <w:rPr>
          <w:rStyle w:val="Subst"/>
        </w:rPr>
        <w:br/>
        <w:t xml:space="preserve">- законодательства в области охраны труда, промышленной безопасность, экологических норм; </w:t>
      </w:r>
      <w:r w:rsidRPr="002419E5">
        <w:rPr>
          <w:rStyle w:val="Subst"/>
        </w:rPr>
        <w:br/>
        <w:t>- антимонопольного законодательства, в том числе в области ценообразования на внутреннем рынке, взаимодействия с поставщиками и потребителями товаров и услуг.</w:t>
      </w:r>
      <w:r w:rsidRPr="002419E5">
        <w:rPr>
          <w:rStyle w:val="Subst"/>
        </w:rPr>
        <w:br/>
        <w:t xml:space="preserve">Общество на постоянной основе осуществляет мониторинг изменений законодательства, проводит работу по оценке последствий таких изменений и учитывает их в своих планах. </w:t>
      </w:r>
      <w:r w:rsidRPr="002419E5">
        <w:rPr>
          <w:rStyle w:val="Subst"/>
        </w:rPr>
        <w:br/>
        <w:t xml:space="preserve">Риски, связанные с изменением валютного регулирования: изменение валютного регулирования не оказывает непосредственного влияния на деятельность Общества. Однако, в случае внесения изменений в действующее законодательство, Общество проводит мониторинг изменений законодательства и планирует свою деятельность с учетом таких изменений. В связи с этим эмитент оценивает риски изменения валютного законодательства как незначительные. Риски, связанные с изменением законодательства по вопросам функционирования рынка ценных бумаг: изменение правил эмиссии, регистрации, размещения ценных бумаг и/или погашения облигаций эмитента не оказывают существенного влияния на деятельность эмитента. </w:t>
      </w:r>
      <w:r w:rsidRPr="002419E5">
        <w:rPr>
          <w:rStyle w:val="Subst"/>
        </w:rPr>
        <w:br/>
        <w:t xml:space="preserve">Риски, связанные с изменением налогового законодательства: </w:t>
      </w:r>
      <w:r w:rsidRPr="002419E5">
        <w:rPr>
          <w:rStyle w:val="Subst"/>
        </w:rPr>
        <w:br/>
        <w:t xml:space="preserve">- внесение изменений или дополнений в акты законодательства о налогах и сборах, касающихся увеличения налоговых ставок; </w:t>
      </w:r>
      <w:r w:rsidRPr="002419E5">
        <w:rPr>
          <w:rStyle w:val="Subst"/>
        </w:rPr>
        <w:br/>
        <w:t xml:space="preserve">- введение дополнительных объектов налогообложения; </w:t>
      </w:r>
      <w:r w:rsidRPr="002419E5">
        <w:rPr>
          <w:rStyle w:val="Subst"/>
        </w:rPr>
        <w:br/>
        <w:t xml:space="preserve">- усиление налогового контроля. </w:t>
      </w:r>
      <w:r w:rsidRPr="002419E5">
        <w:rPr>
          <w:rStyle w:val="Subst"/>
        </w:rPr>
        <w:br/>
      </w:r>
      <w:r w:rsidRPr="002419E5">
        <w:rPr>
          <w:rStyle w:val="Subst"/>
        </w:rPr>
        <w:lastRenderedPageBreak/>
        <w:t>Возможный рост ставки по налогам, выплачиваемым эмитентом в ходе своей производственно-финансовой деятельности, может привести к увеличению расходов эмитента и снижению денежных средств, остающихся у Общества на финансирование текущей деятельности.</w:t>
      </w:r>
      <w:r w:rsidRPr="002419E5">
        <w:rPr>
          <w:rStyle w:val="Subst"/>
        </w:rPr>
        <w:br/>
        <w:t xml:space="preserve">В связи с возможными изменениями действующего налогового законодательства в дальнейшем существует вероятность увеличения расходов эмитента на уплату налогов и обязательных платежей. </w:t>
      </w:r>
      <w:r w:rsidRPr="002419E5">
        <w:rPr>
          <w:rStyle w:val="Subst"/>
        </w:rPr>
        <w:br/>
        <w:t xml:space="preserve">Риски, связанные с изменением правил таможенного контроля и пошлин: изменение правил таможенного контроля и пошлин не оказывают существенного влияния на деятельность эмитента. </w:t>
      </w:r>
      <w:r w:rsidRPr="002419E5">
        <w:rPr>
          <w:rStyle w:val="Subst"/>
        </w:rPr>
        <w:br/>
        <w:t>Риски, связанные с судебной практикой по вопросам, связанным с финансово-хозяйственной деятельностью Эмитента, которые могут негативно сказаться на результатах его финансово-хозяйственной деятельности, а также на результатах текущих судебных процессов, в которых участвует Эмитент, имеющих для него существенное значение: Эмитент может быть вовлечен в качестве ответчика или истца в ряд судебных разбирательств, которые возникают в процессе обычной хозяйственной деятельности. При осуществлении финансово-хозяйственной деятельности эмитент придерживается принципа осмотрительности и проводит постоянный мониторинг изменения судебной практики по всем направлениям своей деятельности. Эмитент не располагает сведениями о возможных изменениях судебной практики по вопросам, связанным с деятельностью эмитента, которые могли бы негативно повлиять на деятельность эмитента. На дату окончания отчетного периода эмитент не участвовал в каких-либо существенных судебных процессах и связанные с этим риски незначительны.</w:t>
      </w:r>
    </w:p>
    <w:p w14:paraId="01AAF955" w14:textId="77777777" w:rsidR="004F7BFA" w:rsidRPr="002419E5" w:rsidRDefault="004F7BFA">
      <w:pPr>
        <w:pStyle w:val="2"/>
      </w:pPr>
      <w:r w:rsidRPr="002419E5">
        <w:t>1.9.5. Риск потери деловой репутации (репутационный риск)</w:t>
      </w:r>
    </w:p>
    <w:p w14:paraId="172BDA91" w14:textId="77777777" w:rsidR="004F7BFA" w:rsidRPr="002419E5" w:rsidRDefault="004F7BFA">
      <w:pPr>
        <w:ind w:left="200"/>
      </w:pPr>
      <w:r w:rsidRPr="002419E5">
        <w:rPr>
          <w:rStyle w:val="Subst"/>
          <w:bCs/>
          <w:iCs/>
        </w:rPr>
        <w:t>В процессе осуществления производственной деятельности эмитент подвержен репутационному риску. Данный вид риска проявляется в виде не поставки продукции потребителю в срок или поставки продукции несоответствующего качества, что может привести к возникновению убытков, связанных со снижением заказов потребителей на продукцию эмитента. Эмитент проводит мероприятия по минимизации данного риска: совершенствование системы менеджмента качества, совершенствование технологии производства продукции и прочие мероприятия.</w:t>
      </w:r>
      <w:r w:rsidRPr="002419E5">
        <w:rPr>
          <w:rStyle w:val="Subst"/>
          <w:bCs/>
          <w:iCs/>
        </w:rPr>
        <w:br/>
        <w:t>Вероятность негативного влияния указанного риска на результаты деятельности эмитента низкая.</w:t>
      </w:r>
    </w:p>
    <w:p w14:paraId="086CB85C" w14:textId="77777777" w:rsidR="004F7BFA" w:rsidRPr="002419E5" w:rsidRDefault="004F7BFA">
      <w:pPr>
        <w:pStyle w:val="2"/>
      </w:pPr>
      <w:r w:rsidRPr="002419E5">
        <w:t>1.9.6. Стратегический риск</w:t>
      </w:r>
    </w:p>
    <w:p w14:paraId="4DE95712" w14:textId="77777777" w:rsidR="004F7BFA" w:rsidRPr="002419E5" w:rsidRDefault="004F7BFA">
      <w:pPr>
        <w:ind w:left="200"/>
      </w:pPr>
      <w:r w:rsidRPr="002419E5">
        <w:rPr>
          <w:rStyle w:val="Subst"/>
          <w:bCs/>
          <w:iCs/>
        </w:rPr>
        <w:t>Снижение данного риска реализуется посредством предваряющего принятие управленческих решений стратегического характера обязательного анализа текущей ситуации на рынке черных металлов и перспектив его развития, анализа и прогнозирования возможных действий конкурентов, оценки потребностей потенциальных заказчиков, определения возможностей кадрового, технологического, финансового обеспечения запланированных изменений.</w:t>
      </w:r>
    </w:p>
    <w:p w14:paraId="0BBE297B" w14:textId="77777777" w:rsidR="004F7BFA" w:rsidRPr="002419E5" w:rsidRDefault="004F7BFA">
      <w:pPr>
        <w:pStyle w:val="2"/>
      </w:pPr>
      <w:r w:rsidRPr="002419E5">
        <w:t>1.9.7. Риски, связанные с деятельностью эмитента</w:t>
      </w:r>
    </w:p>
    <w:p w14:paraId="194A024B" w14:textId="77777777" w:rsidR="004F7BFA" w:rsidRPr="002419E5" w:rsidRDefault="003F1F72">
      <w:pPr>
        <w:ind w:left="200"/>
      </w:pPr>
      <w:r w:rsidRPr="002419E5">
        <w:rPr>
          <w:rStyle w:val="Subst"/>
        </w:rPr>
        <w:t>В части возможности потери потребителей, на оборот с которыми приходится не менее чем 10 процентов общей выручки предпосылок нет.</w:t>
      </w:r>
      <w:r w:rsidRPr="002419E5">
        <w:rPr>
          <w:rStyle w:val="Subst"/>
        </w:rPr>
        <w:br/>
        <w:t>Для осуществления деятельности эмитента требуется получение многочисленных лицензий и разрешений от российских органов исполнительной власти. в том числе:</w:t>
      </w:r>
      <w:r w:rsidRPr="002419E5">
        <w:rPr>
          <w:rStyle w:val="Subst"/>
        </w:rPr>
        <w:br/>
        <w:t xml:space="preserve">• на водопользование; </w:t>
      </w:r>
      <w:r w:rsidRPr="002419E5">
        <w:rPr>
          <w:rStyle w:val="Subst"/>
        </w:rPr>
        <w:br/>
        <w:t xml:space="preserve">• на выбросы и сбросы загрязняющих веществ в окружающую среду; </w:t>
      </w:r>
      <w:r w:rsidRPr="002419E5">
        <w:rPr>
          <w:rStyle w:val="Subst"/>
        </w:rPr>
        <w:br/>
        <w:t xml:space="preserve">• на обращение с отходами I-IV класса опасности; </w:t>
      </w:r>
      <w:r w:rsidRPr="002419E5">
        <w:rPr>
          <w:rStyle w:val="Subst"/>
        </w:rPr>
        <w:br/>
        <w:t xml:space="preserve">• на эксплуатацию взрывопожароопасных и химически опасных производственных объектов I-III класса опасности; </w:t>
      </w:r>
      <w:r w:rsidRPr="002419E5">
        <w:rPr>
          <w:rStyle w:val="Subst"/>
        </w:rPr>
        <w:br/>
        <w:t xml:space="preserve">• на обеспечение пожарной охраны и безопасности; </w:t>
      </w:r>
      <w:r w:rsidRPr="002419E5">
        <w:rPr>
          <w:rStyle w:val="Subst"/>
        </w:rPr>
        <w:br/>
        <w:t xml:space="preserve">• на осуществление медицинской деятельности; </w:t>
      </w:r>
      <w:r w:rsidRPr="002419E5">
        <w:rPr>
          <w:rStyle w:val="Subst"/>
        </w:rPr>
        <w:br/>
        <w:t xml:space="preserve">• на погрузочно-разгрузочную деятельность; </w:t>
      </w:r>
      <w:r w:rsidRPr="002419E5">
        <w:rPr>
          <w:rStyle w:val="Subst"/>
        </w:rPr>
        <w:br/>
        <w:t xml:space="preserve">• на деятельность по перевозке транспортом; </w:t>
      </w:r>
      <w:r w:rsidRPr="002419E5">
        <w:rPr>
          <w:rStyle w:val="Subst"/>
        </w:rPr>
        <w:br/>
        <w:t xml:space="preserve">• на осуществление заготовки, переработки, хранения и реализации лома черных и цветных металлов; </w:t>
      </w:r>
      <w:r w:rsidRPr="002419E5">
        <w:rPr>
          <w:rStyle w:val="Subst"/>
        </w:rPr>
        <w:br/>
        <w:t xml:space="preserve">• на осуществление работ с использованием сведений, составляющих государственную тайну; </w:t>
      </w:r>
      <w:r w:rsidRPr="002419E5">
        <w:rPr>
          <w:rStyle w:val="Subst"/>
        </w:rPr>
        <w:br/>
        <w:t xml:space="preserve">• на эксплуатацию радиационного источника. </w:t>
      </w:r>
      <w:r w:rsidRPr="002419E5">
        <w:rPr>
          <w:rStyle w:val="Subst"/>
        </w:rPr>
        <w:br/>
        <w:t xml:space="preserve">Риски требований по лицензированию основной деятельности эмитента, а также лицензированию прав пользования объектами, нахождение которых в обороте ограничено </w:t>
      </w:r>
      <w:r w:rsidRPr="002419E5">
        <w:rPr>
          <w:rStyle w:val="Subst"/>
        </w:rPr>
        <w:lastRenderedPageBreak/>
        <w:t>(включая природные ресурсы): в соответствии с законодательством для проведения определенных видов деятельности Эмитента требуются соответствующие лицензии. Общество подвержено риску досрочного прекращения, приостановления или ограничения права ведения определенных видов деятельности, подлежащих лицензированию. Общество стремится соблюдать и вести непрерывный мониторинг условий осуществления деятельности, подлежащей лицензированию, лицензионных соглашений и законодательства в этой области, предоставляет необходимые документы в уполномоченные органы</w:t>
      </w:r>
      <w:r w:rsidR="004F7BFA" w:rsidRPr="002419E5">
        <w:rPr>
          <w:rStyle w:val="Subst"/>
          <w:bCs/>
          <w:iCs/>
        </w:rPr>
        <w:t>.</w:t>
      </w:r>
    </w:p>
    <w:p w14:paraId="4746A9F9" w14:textId="77777777" w:rsidR="004F7BFA" w:rsidRPr="002419E5" w:rsidRDefault="004F7BFA">
      <w:pPr>
        <w:pStyle w:val="2"/>
      </w:pPr>
      <w:r w:rsidRPr="002419E5">
        <w:t>1.9.8. Риск информационной безопасности</w:t>
      </w:r>
    </w:p>
    <w:p w14:paraId="7CF38E2B" w14:textId="77777777" w:rsidR="003F1F72" w:rsidRPr="002419E5" w:rsidRDefault="003F1F72" w:rsidP="003F1F72">
      <w:pPr>
        <w:ind w:left="200"/>
        <w:rPr>
          <w:rStyle w:val="Subst"/>
          <w:bCs/>
          <w:iCs/>
        </w:rPr>
      </w:pPr>
      <w:r w:rsidRPr="002419E5">
        <w:rPr>
          <w:rStyle w:val="Subst"/>
        </w:rPr>
        <w:t>В процессе осуществления производственной деятельности эмитент риску информационной безопасности, который проявляется в следующем:</w:t>
      </w:r>
    </w:p>
    <w:p w14:paraId="26A20A39" w14:textId="77777777" w:rsidR="003F1F72" w:rsidRPr="002419E5" w:rsidRDefault="003F1F72" w:rsidP="003F1F72">
      <w:pPr>
        <w:ind w:left="200"/>
      </w:pPr>
      <w:r w:rsidRPr="002419E5">
        <w:rPr>
          <w:rStyle w:val="Subst"/>
        </w:rPr>
        <w:t xml:space="preserve">1. </w:t>
      </w:r>
      <w:proofErr w:type="spellStart"/>
      <w:r w:rsidRPr="002419E5">
        <w:rPr>
          <w:rStyle w:val="Subst"/>
        </w:rPr>
        <w:t>Необнаружение</w:t>
      </w:r>
      <w:proofErr w:type="spellEnd"/>
      <w:r w:rsidRPr="002419E5">
        <w:rPr>
          <w:rStyle w:val="Subst"/>
        </w:rPr>
        <w:t xml:space="preserve"> или несвоевременная реакция на факты нарушения информационной безопасности Ключевых ИС(ИР), несанкционированного использования учетных записей пользователей и администраторов;</w:t>
      </w:r>
      <w:r w:rsidRPr="002419E5">
        <w:rPr>
          <w:rStyle w:val="Subst"/>
        </w:rPr>
        <w:br/>
        <w:t>2. Отсутствие актуальной нормативной базы для выполнения ИТ-процессов;</w:t>
      </w:r>
      <w:r w:rsidRPr="002419E5">
        <w:rPr>
          <w:rStyle w:val="Subst"/>
        </w:rPr>
        <w:br/>
        <w:t>3. Частичная или полная утрата настроек и данных;</w:t>
      </w:r>
      <w:r w:rsidRPr="002419E5">
        <w:rPr>
          <w:rStyle w:val="Subst"/>
        </w:rPr>
        <w:br/>
        <w:t>4. Предоставленные учетным записям административные или расширенные права доступа не авторизованы или не соответствуют должностным обязанностям владельцев этих УЗ;</w:t>
      </w:r>
      <w:r w:rsidRPr="002419E5">
        <w:rPr>
          <w:rStyle w:val="Subst"/>
        </w:rPr>
        <w:br/>
        <w:t>5. Отсутствие соответствующей защиты корпоративной сети от внешних угроз и несанкционированного доступа;</w:t>
      </w:r>
      <w:r w:rsidRPr="002419E5">
        <w:rPr>
          <w:rStyle w:val="Subst"/>
        </w:rPr>
        <w:br/>
        <w:t>6. Несанкционированное использование информационных ресурсов сотрудниками сторонних организаций;</w:t>
      </w:r>
      <w:r w:rsidRPr="002419E5">
        <w:rPr>
          <w:rStyle w:val="Subst"/>
        </w:rPr>
        <w:br/>
        <w:t>7. Использование слабостей парольных политик для несанкционированного доступа к Ключевым ИС(ИР);</w:t>
      </w:r>
      <w:r w:rsidRPr="002419E5">
        <w:rPr>
          <w:rStyle w:val="Subst"/>
        </w:rPr>
        <w:br/>
        <w:t>8. Нарушение штатного режима функционирования информационной системы, управляемого объекта и (или) процесса;</w:t>
      </w:r>
      <w:r w:rsidRPr="002419E5">
        <w:rPr>
          <w:rStyle w:val="Subst"/>
        </w:rPr>
        <w:br/>
        <w:t>9. Утечка конфиденциальной информации или отдельных данных (нарушение конфиденциальности);</w:t>
      </w:r>
      <w:r w:rsidRPr="002419E5">
        <w:rPr>
          <w:rStyle w:val="Subst"/>
        </w:rPr>
        <w:br/>
        <w:t xml:space="preserve">10. </w:t>
      </w:r>
      <w:proofErr w:type="spellStart"/>
      <w:r w:rsidRPr="002419E5">
        <w:rPr>
          <w:rStyle w:val="Subst"/>
        </w:rPr>
        <w:t>Несанкционированаяй</w:t>
      </w:r>
      <w:proofErr w:type="spellEnd"/>
      <w:r w:rsidRPr="002419E5">
        <w:rPr>
          <w:rStyle w:val="Subst"/>
        </w:rPr>
        <w:t xml:space="preserve"> модификация, искажение, подмена, удаление служебных (защищаемых) данных (нарушение целостности);</w:t>
      </w:r>
      <w:r w:rsidRPr="002419E5">
        <w:rPr>
          <w:rStyle w:val="Subst"/>
        </w:rPr>
        <w:br/>
        <w:t>11. Отказ в обслуживании компонентов информационных систем (нарушение доступности);</w:t>
      </w:r>
      <w:r w:rsidRPr="002419E5">
        <w:rPr>
          <w:rStyle w:val="Subst"/>
        </w:rPr>
        <w:br/>
        <w:t xml:space="preserve">12. Получение информационных ресурсов из </w:t>
      </w:r>
      <w:proofErr w:type="spellStart"/>
      <w:r w:rsidRPr="002419E5">
        <w:rPr>
          <w:rStyle w:val="Subst"/>
        </w:rPr>
        <w:t>недоверенного</w:t>
      </w:r>
      <w:proofErr w:type="spellEnd"/>
      <w:r w:rsidRPr="002419E5">
        <w:rPr>
          <w:rStyle w:val="Subst"/>
        </w:rPr>
        <w:t xml:space="preserve"> или скомпрометированного источника</w:t>
      </w:r>
      <w:r w:rsidRPr="002419E5">
        <w:rPr>
          <w:rStyle w:val="Subst"/>
        </w:rPr>
        <w:br/>
        <w:t>13. Распространение противоправной информации;</w:t>
      </w:r>
      <w:r w:rsidRPr="002419E5">
        <w:rPr>
          <w:rStyle w:val="Subst"/>
        </w:rPr>
        <w:br/>
        <w:t xml:space="preserve">14. </w:t>
      </w:r>
      <w:proofErr w:type="spellStart"/>
      <w:r w:rsidRPr="002419E5">
        <w:rPr>
          <w:rStyle w:val="Subst"/>
        </w:rPr>
        <w:t>Несанкционирванный</w:t>
      </w:r>
      <w:proofErr w:type="spellEnd"/>
      <w:r w:rsidRPr="002419E5">
        <w:rPr>
          <w:rStyle w:val="Subst"/>
        </w:rPr>
        <w:t xml:space="preserve"> массовый сбор информации.</w:t>
      </w:r>
    </w:p>
    <w:p w14:paraId="316EF743" w14:textId="77777777" w:rsidR="004F7BFA" w:rsidRPr="002419E5" w:rsidRDefault="004F7BFA">
      <w:pPr>
        <w:pStyle w:val="2"/>
      </w:pPr>
      <w:r w:rsidRPr="002419E5">
        <w:t>1.9.9. Экологический риск</w:t>
      </w:r>
    </w:p>
    <w:p w14:paraId="091094EB" w14:textId="77777777" w:rsidR="004F7BFA" w:rsidRPr="002419E5" w:rsidRDefault="004F7BFA">
      <w:pPr>
        <w:ind w:left="200"/>
      </w:pPr>
      <w:r w:rsidRPr="002419E5">
        <w:rPr>
          <w:rStyle w:val="Subst"/>
          <w:bCs/>
          <w:iCs/>
        </w:rPr>
        <w:t>Производственная деятельность ПАО "Ижсталь" оказывает влияние на окружающую среду. Для снижения негативного воздействия на окружающую среду обществом разработаны и реализуются мероприятия экологической программы по всем сферам влияния: охрана атмосферного воздуха, водных ресурсов, обращение с отходами.</w:t>
      </w:r>
    </w:p>
    <w:p w14:paraId="5C2DAB19" w14:textId="77777777" w:rsidR="004F7BFA" w:rsidRPr="002419E5" w:rsidRDefault="004F7BFA">
      <w:pPr>
        <w:pStyle w:val="2"/>
      </w:pPr>
      <w:r w:rsidRPr="002419E5">
        <w:t>1.9.10. Природно-климатический риск</w:t>
      </w:r>
    </w:p>
    <w:p w14:paraId="5F09D2F8" w14:textId="77777777" w:rsidR="004F7BFA" w:rsidRPr="002419E5" w:rsidRDefault="004F7BFA">
      <w:pPr>
        <w:ind w:left="200"/>
      </w:pPr>
      <w:proofErr w:type="spellStart"/>
      <w:r w:rsidRPr="002419E5">
        <w:rPr>
          <w:rStyle w:val="Subst"/>
          <w:bCs/>
          <w:iCs/>
        </w:rPr>
        <w:t>Cущественные</w:t>
      </w:r>
      <w:proofErr w:type="spellEnd"/>
      <w:r w:rsidRPr="002419E5">
        <w:rPr>
          <w:rStyle w:val="Subst"/>
          <w:bCs/>
          <w:iCs/>
        </w:rPr>
        <w:t xml:space="preserve"> для деятельности эмитента (группы эмитента) риски данного вида отсутствуют</w:t>
      </w:r>
    </w:p>
    <w:p w14:paraId="16EF5BB9" w14:textId="77777777" w:rsidR="004F7BFA" w:rsidRPr="002419E5" w:rsidRDefault="004F7BFA">
      <w:pPr>
        <w:pStyle w:val="2"/>
      </w:pPr>
      <w:r w:rsidRPr="002419E5">
        <w:t>1.9.11. Риски кредитных организаций</w:t>
      </w:r>
    </w:p>
    <w:p w14:paraId="779E83B2" w14:textId="77777777" w:rsidR="004F7BFA" w:rsidRPr="002419E5" w:rsidRDefault="004F7BFA">
      <w:pPr>
        <w:ind w:left="200"/>
      </w:pPr>
      <w:r w:rsidRPr="002419E5">
        <w:t>Эмитент не является кредитной организацией</w:t>
      </w:r>
    </w:p>
    <w:p w14:paraId="172F4C69" w14:textId="77777777" w:rsidR="004F7BFA" w:rsidRPr="002419E5" w:rsidRDefault="004F7BFA">
      <w:pPr>
        <w:pStyle w:val="2"/>
      </w:pPr>
      <w:r w:rsidRPr="002419E5">
        <w:t>1.9.12. Иные риски, которые являются существенными для эмитента (группы эмитента)</w:t>
      </w:r>
    </w:p>
    <w:p w14:paraId="0C931EA8" w14:textId="77777777" w:rsidR="004F7BFA" w:rsidRPr="002419E5" w:rsidRDefault="004F7BFA">
      <w:pPr>
        <w:ind w:left="200"/>
        <w:rPr>
          <w:rStyle w:val="Subst"/>
          <w:bCs/>
          <w:iCs/>
        </w:rPr>
      </w:pPr>
      <w:proofErr w:type="spellStart"/>
      <w:r w:rsidRPr="002419E5">
        <w:rPr>
          <w:rStyle w:val="Subst"/>
          <w:bCs/>
          <w:iCs/>
        </w:rPr>
        <w:t>Cущественные</w:t>
      </w:r>
      <w:proofErr w:type="spellEnd"/>
      <w:r w:rsidRPr="002419E5">
        <w:rPr>
          <w:rStyle w:val="Subst"/>
          <w:bCs/>
          <w:iCs/>
        </w:rPr>
        <w:t xml:space="preserve"> для деятельности эмитента (группы эмитента) риски данного вида отсутствуют</w:t>
      </w:r>
    </w:p>
    <w:p w14:paraId="43E54136" w14:textId="77777777" w:rsidR="004F7BFA" w:rsidRPr="002419E5" w:rsidRDefault="004F7BFA">
      <w:pPr>
        <w:pStyle w:val="1"/>
      </w:pPr>
      <w:r w:rsidRPr="002419E5">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p>
    <w:p w14:paraId="4D038B4F" w14:textId="77777777" w:rsidR="004F7BFA" w:rsidRPr="002419E5" w:rsidRDefault="004F7BFA">
      <w:pPr>
        <w:pStyle w:val="2"/>
      </w:pPr>
      <w:r w:rsidRPr="002419E5">
        <w:lastRenderedPageBreak/>
        <w:t>2.1. Информация о лицах, входящих в состав органов управления эмитента</w:t>
      </w:r>
    </w:p>
    <w:p w14:paraId="1C04359C" w14:textId="77777777" w:rsidR="004F7BFA" w:rsidRPr="002419E5" w:rsidRDefault="004F7BFA">
      <w:pPr>
        <w:ind w:left="200"/>
      </w:pPr>
      <w:r w:rsidRPr="002419E5">
        <w:rPr>
          <w:rStyle w:val="Subst"/>
          <w:bCs/>
          <w:iC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14:paraId="68896854" w14:textId="77777777" w:rsidR="004F7BFA" w:rsidRPr="002419E5" w:rsidRDefault="004F7BFA">
      <w:pPr>
        <w:pStyle w:val="2"/>
      </w:pPr>
      <w:r w:rsidRPr="002419E5">
        <w:t>2.1.1. Состав совета директоров (наблюдательного совета) эмитента</w:t>
      </w:r>
    </w:p>
    <w:p w14:paraId="3013A776" w14:textId="77777777" w:rsidR="00484018" w:rsidRPr="002419E5" w:rsidRDefault="00484018">
      <w:pPr>
        <w:ind w:left="200"/>
        <w:rPr>
          <w:rStyle w:val="Subst"/>
          <w:bCs/>
          <w:iCs/>
        </w:rPr>
      </w:pPr>
    </w:p>
    <w:p w14:paraId="7D0C3919" w14:textId="77777777" w:rsidR="00484018" w:rsidRPr="002419E5" w:rsidRDefault="00484018" w:rsidP="00484018">
      <w:pPr>
        <w:ind w:left="200"/>
      </w:pPr>
      <w:r w:rsidRPr="002419E5">
        <w:rPr>
          <w:b/>
          <w:bCs/>
          <w:i/>
          <w:iCs/>
        </w:rPr>
        <w:t>Информация не раскрывается по основаниям, предусмотренным действующим законодательством.</w:t>
      </w:r>
    </w:p>
    <w:p w14:paraId="58F76F1D" w14:textId="77777777" w:rsidR="004F7BFA" w:rsidRPr="002419E5" w:rsidRDefault="004F7BFA">
      <w:pPr>
        <w:pStyle w:val="2"/>
      </w:pPr>
      <w:r w:rsidRPr="002419E5">
        <w:t>2.1.2. Информация о единоличном исполнительном органе эмитента</w:t>
      </w:r>
    </w:p>
    <w:p w14:paraId="36D1015A" w14:textId="77777777" w:rsidR="004F7BFA" w:rsidRPr="002419E5" w:rsidRDefault="004F7BFA">
      <w:pPr>
        <w:pStyle w:val="ThinDelim"/>
      </w:pPr>
    </w:p>
    <w:p w14:paraId="0B2DB8DC" w14:textId="77777777" w:rsidR="004F7BFA" w:rsidRPr="002419E5" w:rsidRDefault="004F7BFA">
      <w:pPr>
        <w:pStyle w:val="ThinDelim"/>
      </w:pPr>
    </w:p>
    <w:p w14:paraId="74197742" w14:textId="77777777" w:rsidR="00484018" w:rsidRPr="002419E5" w:rsidRDefault="00484018" w:rsidP="00484018">
      <w:pPr>
        <w:ind w:left="200"/>
      </w:pPr>
      <w:r w:rsidRPr="002419E5">
        <w:rPr>
          <w:b/>
          <w:bCs/>
          <w:i/>
          <w:iCs/>
        </w:rPr>
        <w:t>Информация не раскрывается по основаниям, предусмотренным действующим законодательством.</w:t>
      </w:r>
    </w:p>
    <w:p w14:paraId="100106AE" w14:textId="77777777" w:rsidR="004F7BFA" w:rsidRPr="002419E5" w:rsidRDefault="004F7BFA">
      <w:pPr>
        <w:pStyle w:val="2"/>
      </w:pPr>
      <w:r w:rsidRPr="002419E5">
        <w:t>2.1.3. Состав коллегиального исполнительного органа эмитента</w:t>
      </w:r>
    </w:p>
    <w:p w14:paraId="126A03AD" w14:textId="77777777" w:rsidR="004F7BFA" w:rsidRPr="002419E5" w:rsidRDefault="004F7BFA">
      <w:pPr>
        <w:ind w:left="200"/>
      </w:pPr>
      <w:r w:rsidRPr="002419E5">
        <w:rPr>
          <w:rStyle w:val="Subst"/>
          <w:bCs/>
          <w:iCs/>
        </w:rPr>
        <w:t>Коллегиальный исполнительный орган не предусмотрен</w:t>
      </w:r>
    </w:p>
    <w:p w14:paraId="081BBBBF" w14:textId="77777777" w:rsidR="004F7BFA" w:rsidRPr="002419E5" w:rsidRDefault="004F7BFA">
      <w:pPr>
        <w:pStyle w:val="2"/>
      </w:pPr>
      <w:r w:rsidRPr="002419E5">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p>
    <w:p w14:paraId="2AFE5532" w14:textId="77777777" w:rsidR="004F7BFA" w:rsidRPr="002419E5" w:rsidRDefault="004F7BFA">
      <w:pPr>
        <w:ind w:left="200"/>
      </w:pPr>
      <w:r w:rsidRPr="002419E5">
        <w:t>Основные положения политики в области вознаграждения и (или) компенсации расходов членов органов управления эмитента:</w:t>
      </w:r>
      <w:r w:rsidRPr="002419E5">
        <w:br/>
      </w:r>
      <w:r w:rsidRPr="002419E5">
        <w:rPr>
          <w:rStyle w:val="Subst"/>
          <w:bCs/>
          <w:iCs/>
        </w:rPr>
        <w:t>Политика в области вознаграждения членам Совета директоров в Обществе не разработана.</w:t>
      </w:r>
      <w:r w:rsidRPr="002419E5">
        <w:rPr>
          <w:rStyle w:val="Subst"/>
          <w:bCs/>
          <w:iCs/>
        </w:rPr>
        <w:br/>
        <w:t xml:space="preserve">Компенсации расходов членам Совета директоров определяется Положением о компенсации расходов членам Совета директоров ПАО "Ижсталь", связанных с исполнением ими функций членов совета директоров, утвержденным решением годового общего собрания акционеров, Протокол № 13 от 15.05.2007. </w:t>
      </w:r>
      <w:r w:rsidRPr="002419E5">
        <w:rPr>
          <w:rStyle w:val="Subst"/>
          <w:bCs/>
          <w:iCs/>
        </w:rPr>
        <w:br/>
        <w:t>Вознаграждение членам Совета директоров за участие в работе органов управления не выплачивается. Оплата труда членам Совета директоров, состоящим в трудовых отношениях с ПАО "Ижсталь", осуществляется согласно заключенным трудовым договорам.</w:t>
      </w:r>
    </w:p>
    <w:p w14:paraId="7A172B96" w14:textId="77777777" w:rsidR="004F7BFA" w:rsidRPr="002419E5" w:rsidRDefault="004F7BFA">
      <w:pPr>
        <w:pStyle w:val="SubHeading"/>
        <w:ind w:left="200"/>
      </w:pPr>
      <w:r w:rsidRPr="002419E5">
        <w:t>Вознаграждения</w:t>
      </w:r>
    </w:p>
    <w:p w14:paraId="65F0242F" w14:textId="77777777" w:rsidR="004F7BFA" w:rsidRPr="002419E5" w:rsidRDefault="004F7BFA">
      <w:pPr>
        <w:pStyle w:val="SubHeading"/>
        <w:ind w:left="400"/>
      </w:pPr>
      <w:r w:rsidRPr="002419E5">
        <w:t>Совет директоров</w:t>
      </w:r>
    </w:p>
    <w:p w14:paraId="48A9014E" w14:textId="77777777" w:rsidR="004F7BFA" w:rsidRPr="002419E5" w:rsidRDefault="004F7BFA">
      <w:pPr>
        <w:ind w:left="600"/>
      </w:pPr>
      <w:r w:rsidRPr="002419E5">
        <w:t>Единица измерения:</w:t>
      </w:r>
      <w:r w:rsidRPr="002419E5">
        <w:rPr>
          <w:rStyle w:val="Subst"/>
          <w:bCs/>
          <w:iCs/>
        </w:rPr>
        <w:t xml:space="preserve"> тыс. руб.</w:t>
      </w:r>
    </w:p>
    <w:p w14:paraId="16A3EC33" w14:textId="77777777" w:rsidR="004F7BFA" w:rsidRPr="002419E5" w:rsidRDefault="004F7BFA">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4F7BFA" w:rsidRPr="002419E5" w14:paraId="570BE510" w14:textId="77777777">
        <w:tc>
          <w:tcPr>
            <w:tcW w:w="6492" w:type="dxa"/>
            <w:tcBorders>
              <w:top w:val="double" w:sz="6" w:space="0" w:color="auto"/>
              <w:left w:val="double" w:sz="6" w:space="0" w:color="auto"/>
              <w:bottom w:val="single" w:sz="6" w:space="0" w:color="auto"/>
              <w:right w:val="single" w:sz="6" w:space="0" w:color="auto"/>
            </w:tcBorders>
          </w:tcPr>
          <w:p w14:paraId="29A9125B" w14:textId="77777777" w:rsidR="004F7BFA" w:rsidRPr="002419E5" w:rsidRDefault="004F7BFA">
            <w:pPr>
              <w:jc w:val="center"/>
            </w:pPr>
            <w:r w:rsidRPr="002419E5">
              <w:t>Наименование показателя</w:t>
            </w:r>
          </w:p>
        </w:tc>
        <w:tc>
          <w:tcPr>
            <w:tcW w:w="2760" w:type="dxa"/>
            <w:tcBorders>
              <w:top w:val="double" w:sz="6" w:space="0" w:color="auto"/>
              <w:left w:val="single" w:sz="6" w:space="0" w:color="auto"/>
              <w:bottom w:val="single" w:sz="6" w:space="0" w:color="auto"/>
              <w:right w:val="double" w:sz="6" w:space="0" w:color="auto"/>
            </w:tcBorders>
          </w:tcPr>
          <w:p w14:paraId="5631FEE1" w14:textId="77777777" w:rsidR="004F7BFA" w:rsidRPr="002419E5" w:rsidRDefault="004F7BFA">
            <w:pPr>
              <w:jc w:val="center"/>
            </w:pPr>
            <w:r w:rsidRPr="002419E5">
              <w:t>2024, 12 мес.</w:t>
            </w:r>
          </w:p>
        </w:tc>
      </w:tr>
      <w:tr w:rsidR="004F7BFA" w:rsidRPr="002419E5" w14:paraId="3A787610" w14:textId="77777777">
        <w:tc>
          <w:tcPr>
            <w:tcW w:w="6492" w:type="dxa"/>
            <w:tcBorders>
              <w:top w:val="single" w:sz="6" w:space="0" w:color="auto"/>
              <w:left w:val="double" w:sz="6" w:space="0" w:color="auto"/>
              <w:bottom w:val="single" w:sz="6" w:space="0" w:color="auto"/>
              <w:right w:val="single" w:sz="6" w:space="0" w:color="auto"/>
            </w:tcBorders>
          </w:tcPr>
          <w:p w14:paraId="7E5F8328" w14:textId="77777777" w:rsidR="004F7BFA" w:rsidRPr="002419E5" w:rsidRDefault="004F7BFA">
            <w:r w:rsidRPr="002419E5">
              <w:t>Вознаграждение за участие в работе органа управления</w:t>
            </w:r>
          </w:p>
        </w:tc>
        <w:tc>
          <w:tcPr>
            <w:tcW w:w="2760" w:type="dxa"/>
            <w:tcBorders>
              <w:top w:val="single" w:sz="6" w:space="0" w:color="auto"/>
              <w:left w:val="single" w:sz="6" w:space="0" w:color="auto"/>
              <w:bottom w:val="single" w:sz="6" w:space="0" w:color="auto"/>
              <w:right w:val="double" w:sz="6" w:space="0" w:color="auto"/>
            </w:tcBorders>
          </w:tcPr>
          <w:p w14:paraId="31378866" w14:textId="77777777" w:rsidR="004F7BFA" w:rsidRPr="002419E5" w:rsidRDefault="004F7BFA">
            <w:pPr>
              <w:jc w:val="right"/>
            </w:pPr>
            <w:r w:rsidRPr="002419E5">
              <w:t>0</w:t>
            </w:r>
          </w:p>
        </w:tc>
      </w:tr>
      <w:tr w:rsidR="004F7BFA" w:rsidRPr="002419E5" w14:paraId="48EAC1B4" w14:textId="77777777">
        <w:tc>
          <w:tcPr>
            <w:tcW w:w="6492" w:type="dxa"/>
            <w:tcBorders>
              <w:top w:val="single" w:sz="6" w:space="0" w:color="auto"/>
              <w:left w:val="double" w:sz="6" w:space="0" w:color="auto"/>
              <w:bottom w:val="single" w:sz="6" w:space="0" w:color="auto"/>
              <w:right w:val="single" w:sz="6" w:space="0" w:color="auto"/>
            </w:tcBorders>
          </w:tcPr>
          <w:p w14:paraId="3A5628D1" w14:textId="77777777" w:rsidR="004F7BFA" w:rsidRPr="002419E5" w:rsidRDefault="004F7BFA">
            <w:r w:rsidRPr="002419E5">
              <w:t>Заработная плата</w:t>
            </w:r>
          </w:p>
        </w:tc>
        <w:tc>
          <w:tcPr>
            <w:tcW w:w="2760" w:type="dxa"/>
            <w:tcBorders>
              <w:top w:val="single" w:sz="6" w:space="0" w:color="auto"/>
              <w:left w:val="single" w:sz="6" w:space="0" w:color="auto"/>
              <w:bottom w:val="single" w:sz="6" w:space="0" w:color="auto"/>
              <w:right w:val="double" w:sz="6" w:space="0" w:color="auto"/>
            </w:tcBorders>
          </w:tcPr>
          <w:p w14:paraId="1668AE13" w14:textId="77777777" w:rsidR="004F7BFA" w:rsidRPr="002419E5" w:rsidRDefault="004F7BFA">
            <w:pPr>
              <w:jc w:val="right"/>
            </w:pPr>
            <w:r w:rsidRPr="002419E5">
              <w:t>17 263.5</w:t>
            </w:r>
          </w:p>
        </w:tc>
      </w:tr>
      <w:tr w:rsidR="004F7BFA" w:rsidRPr="002419E5" w14:paraId="4EE2FDAB" w14:textId="77777777">
        <w:tc>
          <w:tcPr>
            <w:tcW w:w="6492" w:type="dxa"/>
            <w:tcBorders>
              <w:top w:val="single" w:sz="6" w:space="0" w:color="auto"/>
              <w:left w:val="double" w:sz="6" w:space="0" w:color="auto"/>
              <w:bottom w:val="single" w:sz="6" w:space="0" w:color="auto"/>
              <w:right w:val="single" w:sz="6" w:space="0" w:color="auto"/>
            </w:tcBorders>
          </w:tcPr>
          <w:p w14:paraId="7115F612" w14:textId="77777777" w:rsidR="004F7BFA" w:rsidRPr="002419E5" w:rsidRDefault="004F7BFA">
            <w:r w:rsidRPr="002419E5">
              <w:t>Премии</w:t>
            </w:r>
          </w:p>
        </w:tc>
        <w:tc>
          <w:tcPr>
            <w:tcW w:w="2760" w:type="dxa"/>
            <w:tcBorders>
              <w:top w:val="single" w:sz="6" w:space="0" w:color="auto"/>
              <w:left w:val="single" w:sz="6" w:space="0" w:color="auto"/>
              <w:bottom w:val="single" w:sz="6" w:space="0" w:color="auto"/>
              <w:right w:val="double" w:sz="6" w:space="0" w:color="auto"/>
            </w:tcBorders>
          </w:tcPr>
          <w:p w14:paraId="728E0F04" w14:textId="77777777" w:rsidR="004F7BFA" w:rsidRPr="002419E5" w:rsidRDefault="004F7BFA">
            <w:pPr>
              <w:jc w:val="right"/>
            </w:pPr>
            <w:r w:rsidRPr="002419E5">
              <w:t>15 083.7</w:t>
            </w:r>
          </w:p>
        </w:tc>
      </w:tr>
      <w:tr w:rsidR="004F7BFA" w:rsidRPr="002419E5" w14:paraId="6B9F7C5E" w14:textId="77777777">
        <w:tc>
          <w:tcPr>
            <w:tcW w:w="6492" w:type="dxa"/>
            <w:tcBorders>
              <w:top w:val="single" w:sz="6" w:space="0" w:color="auto"/>
              <w:left w:val="double" w:sz="6" w:space="0" w:color="auto"/>
              <w:bottom w:val="single" w:sz="6" w:space="0" w:color="auto"/>
              <w:right w:val="single" w:sz="6" w:space="0" w:color="auto"/>
            </w:tcBorders>
          </w:tcPr>
          <w:p w14:paraId="752A74A4" w14:textId="77777777" w:rsidR="004F7BFA" w:rsidRPr="002419E5" w:rsidRDefault="004F7BFA">
            <w:r w:rsidRPr="002419E5">
              <w:t>Комиссионные</w:t>
            </w:r>
          </w:p>
        </w:tc>
        <w:tc>
          <w:tcPr>
            <w:tcW w:w="2760" w:type="dxa"/>
            <w:tcBorders>
              <w:top w:val="single" w:sz="6" w:space="0" w:color="auto"/>
              <w:left w:val="single" w:sz="6" w:space="0" w:color="auto"/>
              <w:bottom w:val="single" w:sz="6" w:space="0" w:color="auto"/>
              <w:right w:val="double" w:sz="6" w:space="0" w:color="auto"/>
            </w:tcBorders>
          </w:tcPr>
          <w:p w14:paraId="78C9AA84" w14:textId="77777777" w:rsidR="004F7BFA" w:rsidRPr="002419E5" w:rsidRDefault="004F7BFA">
            <w:pPr>
              <w:jc w:val="right"/>
            </w:pPr>
            <w:r w:rsidRPr="002419E5">
              <w:t>0</w:t>
            </w:r>
          </w:p>
        </w:tc>
      </w:tr>
      <w:tr w:rsidR="004F7BFA" w:rsidRPr="002419E5" w14:paraId="62A1D2D5" w14:textId="77777777">
        <w:tc>
          <w:tcPr>
            <w:tcW w:w="6492" w:type="dxa"/>
            <w:tcBorders>
              <w:top w:val="single" w:sz="6" w:space="0" w:color="auto"/>
              <w:left w:val="double" w:sz="6" w:space="0" w:color="auto"/>
              <w:bottom w:val="single" w:sz="6" w:space="0" w:color="auto"/>
              <w:right w:val="single" w:sz="6" w:space="0" w:color="auto"/>
            </w:tcBorders>
          </w:tcPr>
          <w:p w14:paraId="60730A13" w14:textId="77777777" w:rsidR="004F7BFA" w:rsidRPr="002419E5" w:rsidRDefault="004F7BFA">
            <w:r w:rsidRPr="002419E5">
              <w:t>Иные виды вознаграждений</w:t>
            </w:r>
          </w:p>
        </w:tc>
        <w:tc>
          <w:tcPr>
            <w:tcW w:w="2760" w:type="dxa"/>
            <w:tcBorders>
              <w:top w:val="single" w:sz="6" w:space="0" w:color="auto"/>
              <w:left w:val="single" w:sz="6" w:space="0" w:color="auto"/>
              <w:bottom w:val="single" w:sz="6" w:space="0" w:color="auto"/>
              <w:right w:val="double" w:sz="6" w:space="0" w:color="auto"/>
            </w:tcBorders>
          </w:tcPr>
          <w:p w14:paraId="38565258" w14:textId="77777777" w:rsidR="004F7BFA" w:rsidRPr="002419E5" w:rsidRDefault="004F7BFA">
            <w:pPr>
              <w:jc w:val="right"/>
            </w:pPr>
            <w:r w:rsidRPr="002419E5">
              <w:t>300</w:t>
            </w:r>
          </w:p>
        </w:tc>
      </w:tr>
      <w:tr w:rsidR="004F7BFA" w:rsidRPr="002419E5" w14:paraId="4D8D0402" w14:textId="77777777">
        <w:tc>
          <w:tcPr>
            <w:tcW w:w="6492" w:type="dxa"/>
            <w:tcBorders>
              <w:top w:val="single" w:sz="6" w:space="0" w:color="auto"/>
              <w:left w:val="double" w:sz="6" w:space="0" w:color="auto"/>
              <w:bottom w:val="double" w:sz="6" w:space="0" w:color="auto"/>
              <w:right w:val="single" w:sz="6" w:space="0" w:color="auto"/>
            </w:tcBorders>
          </w:tcPr>
          <w:p w14:paraId="75221F8D" w14:textId="77777777" w:rsidR="004F7BFA" w:rsidRPr="002419E5" w:rsidRDefault="004F7BFA">
            <w:r w:rsidRPr="002419E5">
              <w:t>ИТОГО</w:t>
            </w:r>
          </w:p>
        </w:tc>
        <w:tc>
          <w:tcPr>
            <w:tcW w:w="2760" w:type="dxa"/>
            <w:tcBorders>
              <w:top w:val="single" w:sz="6" w:space="0" w:color="auto"/>
              <w:left w:val="single" w:sz="6" w:space="0" w:color="auto"/>
              <w:bottom w:val="double" w:sz="6" w:space="0" w:color="auto"/>
              <w:right w:val="double" w:sz="6" w:space="0" w:color="auto"/>
            </w:tcBorders>
          </w:tcPr>
          <w:p w14:paraId="39214CD3" w14:textId="77777777" w:rsidR="004F7BFA" w:rsidRPr="002419E5" w:rsidRDefault="004F7BFA">
            <w:pPr>
              <w:jc w:val="right"/>
            </w:pPr>
            <w:r w:rsidRPr="002419E5">
              <w:t>32 647.2</w:t>
            </w:r>
          </w:p>
        </w:tc>
      </w:tr>
    </w:tbl>
    <w:p w14:paraId="35DF93E6" w14:textId="77777777" w:rsidR="004F7BFA" w:rsidRPr="002419E5" w:rsidRDefault="004F7BFA"/>
    <w:p w14:paraId="5D39A9DB" w14:textId="77777777" w:rsidR="004F7BFA" w:rsidRPr="002419E5" w:rsidRDefault="004F7BFA">
      <w:pPr>
        <w:pStyle w:val="SubHeading"/>
        <w:ind w:left="200"/>
      </w:pPr>
      <w:r w:rsidRPr="002419E5">
        <w:t>Компенсации</w:t>
      </w:r>
    </w:p>
    <w:p w14:paraId="08362575" w14:textId="77777777" w:rsidR="004F7BFA" w:rsidRPr="002419E5" w:rsidRDefault="004F7BFA">
      <w:pPr>
        <w:ind w:left="400"/>
      </w:pPr>
      <w:r w:rsidRPr="002419E5">
        <w:t>Единица измерения:</w:t>
      </w:r>
      <w:r w:rsidRPr="002419E5">
        <w:rPr>
          <w:rStyle w:val="Subst"/>
          <w:bCs/>
          <w:iCs/>
        </w:rPr>
        <w:t xml:space="preserve"> тыс. руб.</w:t>
      </w:r>
    </w:p>
    <w:p w14:paraId="2047A663" w14:textId="77777777" w:rsidR="004F7BFA" w:rsidRPr="002419E5" w:rsidRDefault="004F7BFA">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2760"/>
      </w:tblGrid>
      <w:tr w:rsidR="004F7BFA" w:rsidRPr="002419E5" w14:paraId="2B5D22BC" w14:textId="77777777">
        <w:tc>
          <w:tcPr>
            <w:tcW w:w="6492" w:type="dxa"/>
            <w:tcBorders>
              <w:top w:val="double" w:sz="6" w:space="0" w:color="auto"/>
              <w:left w:val="double" w:sz="6" w:space="0" w:color="auto"/>
              <w:bottom w:val="single" w:sz="6" w:space="0" w:color="auto"/>
              <w:right w:val="single" w:sz="6" w:space="0" w:color="auto"/>
            </w:tcBorders>
          </w:tcPr>
          <w:p w14:paraId="77C6F63C" w14:textId="77777777" w:rsidR="004F7BFA" w:rsidRPr="002419E5" w:rsidRDefault="004F7BFA">
            <w:pPr>
              <w:jc w:val="center"/>
            </w:pPr>
            <w:r w:rsidRPr="002419E5">
              <w:t>Наименование органа управления</w:t>
            </w:r>
          </w:p>
        </w:tc>
        <w:tc>
          <w:tcPr>
            <w:tcW w:w="2760" w:type="dxa"/>
            <w:tcBorders>
              <w:top w:val="double" w:sz="6" w:space="0" w:color="auto"/>
              <w:left w:val="single" w:sz="6" w:space="0" w:color="auto"/>
              <w:bottom w:val="single" w:sz="6" w:space="0" w:color="auto"/>
              <w:right w:val="double" w:sz="6" w:space="0" w:color="auto"/>
            </w:tcBorders>
          </w:tcPr>
          <w:p w14:paraId="26E14692" w14:textId="77777777" w:rsidR="004F7BFA" w:rsidRPr="002419E5" w:rsidRDefault="004F7BFA">
            <w:pPr>
              <w:jc w:val="center"/>
            </w:pPr>
            <w:r w:rsidRPr="002419E5">
              <w:t>2024, 12 мес.</w:t>
            </w:r>
          </w:p>
        </w:tc>
      </w:tr>
      <w:tr w:rsidR="004F7BFA" w:rsidRPr="002419E5" w14:paraId="25F01F5F" w14:textId="77777777">
        <w:tc>
          <w:tcPr>
            <w:tcW w:w="6492" w:type="dxa"/>
            <w:tcBorders>
              <w:top w:val="single" w:sz="6" w:space="0" w:color="auto"/>
              <w:left w:val="double" w:sz="6" w:space="0" w:color="auto"/>
              <w:bottom w:val="double" w:sz="6" w:space="0" w:color="auto"/>
              <w:right w:val="single" w:sz="6" w:space="0" w:color="auto"/>
            </w:tcBorders>
          </w:tcPr>
          <w:p w14:paraId="2F0A5C04" w14:textId="77777777" w:rsidR="004F7BFA" w:rsidRPr="002419E5" w:rsidRDefault="004F7BFA">
            <w:r w:rsidRPr="002419E5">
              <w:t>Совет директоров</w:t>
            </w:r>
          </w:p>
        </w:tc>
        <w:tc>
          <w:tcPr>
            <w:tcW w:w="2760" w:type="dxa"/>
            <w:tcBorders>
              <w:top w:val="single" w:sz="6" w:space="0" w:color="auto"/>
              <w:left w:val="single" w:sz="6" w:space="0" w:color="auto"/>
              <w:bottom w:val="double" w:sz="6" w:space="0" w:color="auto"/>
              <w:right w:val="double" w:sz="6" w:space="0" w:color="auto"/>
            </w:tcBorders>
          </w:tcPr>
          <w:p w14:paraId="3B78D780" w14:textId="77777777" w:rsidR="004F7BFA" w:rsidRPr="002419E5" w:rsidRDefault="004F7BFA">
            <w:pPr>
              <w:jc w:val="right"/>
            </w:pPr>
            <w:r w:rsidRPr="002419E5">
              <w:t>0</w:t>
            </w:r>
          </w:p>
        </w:tc>
      </w:tr>
    </w:tbl>
    <w:p w14:paraId="07F03923" w14:textId="77777777" w:rsidR="004F7BFA" w:rsidRPr="002419E5" w:rsidRDefault="004F7BFA"/>
    <w:p w14:paraId="25CC9AFB" w14:textId="77777777" w:rsidR="004F7BFA" w:rsidRPr="002419E5" w:rsidRDefault="004F7BFA">
      <w:pPr>
        <w:ind w:left="400"/>
      </w:pPr>
      <w:r w:rsidRPr="002419E5">
        <w:rPr>
          <w:rStyle w:val="Subst"/>
          <w:bCs/>
          <w:iCs/>
        </w:rPr>
        <w:t>Компенсаций расходов, связанных с исполнением функций членов органов управления, за отчетный период Эмитентом не выплачивалось.</w:t>
      </w:r>
    </w:p>
    <w:p w14:paraId="3562498E" w14:textId="77777777" w:rsidR="004F7BFA" w:rsidRPr="002419E5" w:rsidRDefault="004F7BFA">
      <w:pPr>
        <w:ind w:left="200"/>
      </w:pPr>
    </w:p>
    <w:p w14:paraId="16AC932C" w14:textId="77777777" w:rsidR="004F7BFA" w:rsidRPr="002419E5" w:rsidRDefault="004F7BFA">
      <w:pPr>
        <w:pStyle w:val="2"/>
      </w:pPr>
      <w:r w:rsidRPr="002419E5">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p>
    <w:p w14:paraId="7596B681" w14:textId="77777777" w:rsidR="004F7BFA" w:rsidRPr="002419E5" w:rsidRDefault="004F7BFA">
      <w:pPr>
        <w:ind w:left="200"/>
      </w:pPr>
      <w:r w:rsidRPr="002419E5">
        <w:rPr>
          <w:rStyle w:val="Subst"/>
          <w:bCs/>
          <w:iCs/>
        </w:rPr>
        <w:t>Наличие органов контроля за финансово-хозяйственной деятельностью эмитента Уставом не предусмотрено</w:t>
      </w:r>
    </w:p>
    <w:p w14:paraId="31E4638E" w14:textId="77777777" w:rsidR="004F7BFA" w:rsidRPr="002419E5" w:rsidRDefault="004F7BFA">
      <w:pPr>
        <w:ind w:left="200"/>
      </w:pPr>
    </w:p>
    <w:p w14:paraId="21CC1F9F" w14:textId="77777777" w:rsidR="004F7BFA" w:rsidRPr="002419E5" w:rsidRDefault="004F7BFA">
      <w:pPr>
        <w:ind w:left="200"/>
      </w:pPr>
      <w:r w:rsidRPr="002419E5">
        <w:rPr>
          <w:rStyle w:val="Subst"/>
          <w:bCs/>
          <w:iC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14:paraId="2EE5D2DB" w14:textId="77777777" w:rsidR="004F7BFA" w:rsidRPr="002419E5" w:rsidRDefault="004F7BFA">
      <w:pPr>
        <w:ind w:left="200"/>
      </w:pPr>
      <w:r w:rsidRPr="002419E5">
        <w:rPr>
          <w:rStyle w:val="Subst"/>
          <w:bCs/>
          <w:iCs/>
        </w:rPr>
        <w:t>В обществе образован комитет по аудиту совета директоров (наблюдательного совета)</w:t>
      </w:r>
    </w:p>
    <w:p w14:paraId="41D6E8F6" w14:textId="77777777" w:rsidR="004F7BFA" w:rsidRPr="002419E5" w:rsidRDefault="004F7BFA">
      <w:pPr>
        <w:ind w:left="200"/>
      </w:pPr>
      <w:r w:rsidRPr="002419E5">
        <w:t>Основные функции комитета по аудиту совета директоров (наблюдательного совета):</w:t>
      </w:r>
      <w:r w:rsidRPr="002419E5">
        <w:br/>
      </w:r>
      <w:r w:rsidRPr="002419E5">
        <w:rPr>
          <w:rStyle w:val="Subst"/>
          <w:bCs/>
          <w:iCs/>
        </w:rPr>
        <w:t xml:space="preserve">В соответствии с Положением о Комитете Совета директоров по аудиту Публичного акционерного общества "Ижсталь" (утв. Советом Директоров, Протокол № 752 от 30.12.2021), </w:t>
      </w:r>
      <w:r w:rsidR="00D40C22" w:rsidRPr="002419E5">
        <w:rPr>
          <w:rStyle w:val="Subst"/>
        </w:rPr>
        <w:t>Основной целью деятельности Комитета по аудиту является предварительное рассмотрение вопросов, связанных с контролем за финансово-хозяйственной деятельностью Компании, в том числе с оценкой независимости аудитора Компании и отсутствием у него конфликта интересов, а также с оценкой качества проведения аудита бухгалтерской (финансовой) отчетности Компании, рассмотрение иных вопросов в соответствии с законодательством РФ, правилами листинга российских фондовых бирж, на которых котируются акции Компании, внутренними документов Компании.</w:t>
      </w:r>
    </w:p>
    <w:p w14:paraId="6CB3F131" w14:textId="77777777" w:rsidR="004F7BFA" w:rsidRPr="002419E5" w:rsidRDefault="004F7BFA">
      <w:pPr>
        <w:pStyle w:val="SubHeading"/>
        <w:ind w:left="200"/>
      </w:pPr>
      <w:r w:rsidRPr="002419E5">
        <w:t>Члены комитета по аудиту совета директоров (наблюдательного совета)</w:t>
      </w:r>
    </w:p>
    <w:p w14:paraId="33158287" w14:textId="77777777" w:rsidR="004F7BFA" w:rsidRPr="002419E5" w:rsidRDefault="004F7BFA"/>
    <w:p w14:paraId="5B3D3F98" w14:textId="77777777" w:rsidR="00D40C22" w:rsidRPr="002419E5" w:rsidRDefault="00D40C22" w:rsidP="00D40C22">
      <w:pPr>
        <w:ind w:left="200"/>
      </w:pPr>
      <w:r w:rsidRPr="002419E5">
        <w:rPr>
          <w:b/>
          <w:bCs/>
          <w:i/>
          <w:iCs/>
        </w:rPr>
        <w:t>Информация не раскрывается по основаниям, предусмотренным действующим законодательством.</w:t>
      </w:r>
    </w:p>
    <w:p w14:paraId="57BDA028" w14:textId="77777777" w:rsidR="00D40C22" w:rsidRPr="002419E5" w:rsidRDefault="00D40C22"/>
    <w:p w14:paraId="20B5F4A0" w14:textId="77777777" w:rsidR="004F7BFA" w:rsidRPr="002419E5" w:rsidRDefault="004F7BFA">
      <w:pPr>
        <w:ind w:left="200"/>
      </w:pPr>
      <w:r w:rsidRPr="002419E5">
        <w:t>Информация 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r w:rsidRPr="002419E5">
        <w:br/>
      </w:r>
      <w:r w:rsidRPr="002419E5">
        <w:rPr>
          <w:rStyle w:val="Subst"/>
          <w:bCs/>
          <w:iCs/>
        </w:rPr>
        <w:t xml:space="preserve">В Обществе отсутствует отдельное структурное подразделение по управлению рисками. </w:t>
      </w:r>
      <w:r w:rsidRPr="002419E5">
        <w:rPr>
          <w:rStyle w:val="Subst"/>
          <w:bCs/>
          <w:iCs/>
        </w:rPr>
        <w:br/>
        <w:t xml:space="preserve">Функции по управлению рисками возложены на экспертный совет по рискам, образуемый в соответствии с Политикой в области организации управления рисками ПАО "Ижсталь", утв. Советом директоров ПАО «Ижсталь» (Протокол № 594 от 02.11.2018). Обеспечение эффективного функционирования, разработка НРД и методологическая поддержка интегрированной системы управления рисками (идентификация, оценка, определение мероприятий, мониторинг, контроль) возложено на департамент по экономике. </w:t>
      </w:r>
      <w:r w:rsidRPr="002419E5">
        <w:rPr>
          <w:rStyle w:val="Subst"/>
          <w:bCs/>
          <w:iCs/>
        </w:rPr>
        <w:br/>
        <w:t xml:space="preserve">В Обществе отсутствует отдельное структурное подразделение по внутреннему контролю. </w:t>
      </w:r>
      <w:r w:rsidRPr="002419E5">
        <w:rPr>
          <w:rStyle w:val="Subst"/>
          <w:bCs/>
          <w:iCs/>
        </w:rPr>
        <w:br/>
        <w:t>Функции по внутреннему контролю осуществляет иное юридическое лицо на основании договора оказания услуг.</w:t>
      </w:r>
    </w:p>
    <w:p w14:paraId="7F766CA5" w14:textId="77777777" w:rsidR="004F7BFA" w:rsidRPr="002419E5" w:rsidRDefault="004F7BFA">
      <w:pPr>
        <w:ind w:left="200"/>
      </w:pPr>
      <w:r w:rsidRPr="002419E5">
        <w:t>Информация 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r w:rsidRPr="002419E5">
        <w:br/>
      </w:r>
      <w:r w:rsidRPr="002419E5">
        <w:rPr>
          <w:rStyle w:val="Subst"/>
          <w:bCs/>
          <w:iCs/>
        </w:rPr>
        <w:t>Отдельное структурное подразделение внутреннего аудита в Обществе отсутствует. Согласно Решению Совета директоров ПАО "Ижсталь", Протокол № 707 от 29.12.2020, функции внутреннего аудита осуществляется иным юридическим лицом на основании договора.</w:t>
      </w:r>
    </w:p>
    <w:p w14:paraId="7D3303ED" w14:textId="77777777" w:rsidR="004F7BFA" w:rsidRPr="002419E5" w:rsidRDefault="004F7BFA">
      <w:pPr>
        <w:ind w:left="200"/>
      </w:pPr>
    </w:p>
    <w:p w14:paraId="292AA365" w14:textId="77777777" w:rsidR="004F7BFA" w:rsidRPr="002419E5" w:rsidRDefault="004F7BFA">
      <w:pPr>
        <w:ind w:left="200"/>
      </w:pPr>
      <w:r w:rsidRPr="002419E5">
        <w:rPr>
          <w:rStyle w:val="Subst"/>
          <w:bCs/>
          <w:iCs/>
        </w:rPr>
        <w:t>Наличие ревизионной комиссии (ревизора) не предусмотрено Уставом</w:t>
      </w:r>
    </w:p>
    <w:p w14:paraId="63CB1CC0" w14:textId="77777777" w:rsidR="004F7BFA" w:rsidRPr="002419E5" w:rsidRDefault="004F7BFA">
      <w:pPr>
        <w:ind w:left="200"/>
      </w:pPr>
      <w:r w:rsidRPr="002419E5">
        <w:t>Политика эмитента в области управления рисками, внутреннего контроля и внутреннего аудита:</w:t>
      </w:r>
      <w:r w:rsidRPr="002419E5">
        <w:br/>
      </w:r>
      <w:r w:rsidRPr="002419E5">
        <w:rPr>
          <w:rStyle w:val="Subst"/>
          <w:bCs/>
          <w:iCs/>
        </w:rPr>
        <w:t>С учетом п. 1 ст. 87.1. Федерального закона от 26.12.1995 N 208-ФЗ "Об акционерных обществах", вступившим в силу с 01.09.2018, Обществом разработаны и утверждены:</w:t>
      </w:r>
      <w:r w:rsidRPr="002419E5">
        <w:rPr>
          <w:rStyle w:val="Subst"/>
          <w:bCs/>
          <w:iCs/>
        </w:rPr>
        <w:br/>
        <w:t>- Политика в области управления рисками (утв. Протокол СД № 594 от 02.11.2018);</w:t>
      </w:r>
      <w:r w:rsidRPr="002419E5">
        <w:rPr>
          <w:rStyle w:val="Subst"/>
          <w:bCs/>
          <w:iCs/>
        </w:rPr>
        <w:br/>
        <w:t>- Положение о внутреннем контроле (утв. Протокол СД № 599 от 07.12.2018);</w:t>
      </w:r>
      <w:r w:rsidRPr="002419E5">
        <w:rPr>
          <w:rStyle w:val="Subst"/>
          <w:bCs/>
          <w:iCs/>
        </w:rPr>
        <w:br/>
        <w:t xml:space="preserve">- Политика в области внутреннего аудита (утв. Протокол СД № 707 от 29.12.2020). </w:t>
      </w:r>
      <w:r w:rsidRPr="002419E5">
        <w:rPr>
          <w:rStyle w:val="Subst"/>
          <w:bCs/>
          <w:iCs/>
        </w:rPr>
        <w:br/>
        <w:t>Эмитентом утвержден (одобрен) внутренний документ эмитента, устанавливающий правила по предотвращению неправомерного использования конфиденциальной и инсайдерской информации.</w:t>
      </w:r>
    </w:p>
    <w:p w14:paraId="021AE166" w14:textId="77777777" w:rsidR="004F7BFA" w:rsidRPr="002419E5" w:rsidRDefault="004F7BFA">
      <w:pPr>
        <w:ind w:left="200"/>
      </w:pPr>
      <w:r w:rsidRPr="002419E5">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r w:rsidRPr="002419E5">
        <w:br/>
      </w:r>
      <w:r w:rsidRPr="002419E5">
        <w:rPr>
          <w:rStyle w:val="Subst"/>
          <w:bCs/>
          <w:iCs/>
        </w:rPr>
        <w:lastRenderedPageBreak/>
        <w:t>Положение об инсайдерской информации, порядке доступа к ней Открытого акционерного общества "Ижсталь", утверждено Решением Совета директоров ОАО "Ижсталь" 16.06.2011 (Протокол № 211 от 16.06.2011).</w:t>
      </w:r>
    </w:p>
    <w:p w14:paraId="5C45ABE4" w14:textId="77777777" w:rsidR="004F7BFA" w:rsidRPr="002419E5" w:rsidRDefault="004F7BFA">
      <w:pPr>
        <w:ind w:left="200"/>
      </w:pPr>
      <w:r w:rsidRPr="002419E5">
        <w:t>Дополнительная информация:</w:t>
      </w:r>
      <w:r w:rsidRPr="002419E5">
        <w:br/>
      </w:r>
      <w:r w:rsidRPr="002419E5">
        <w:rPr>
          <w:rStyle w:val="Subst"/>
          <w:bCs/>
          <w:iCs/>
        </w:rPr>
        <w:t>не имеется</w:t>
      </w:r>
    </w:p>
    <w:p w14:paraId="77E03F9D" w14:textId="77777777" w:rsidR="004F7BFA" w:rsidRPr="002419E5" w:rsidRDefault="004F7BFA">
      <w:pPr>
        <w:pStyle w:val="2"/>
      </w:pPr>
      <w:r w:rsidRPr="002419E5">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p>
    <w:p w14:paraId="70F56F8E" w14:textId="77777777" w:rsidR="004F7BFA" w:rsidRPr="002419E5" w:rsidRDefault="004F7BFA">
      <w:pPr>
        <w:ind w:left="200"/>
      </w:pPr>
      <w:r w:rsidRPr="002419E5">
        <w:rPr>
          <w:rStyle w:val="Subst"/>
          <w:bCs/>
          <w:iCs/>
        </w:rPr>
        <w:t>Наличие органов контроля за финансово-хозяйственной деятельностью эмитента Уставом не предусмотрено</w:t>
      </w:r>
    </w:p>
    <w:p w14:paraId="12C58ECE" w14:textId="77777777" w:rsidR="004F7BFA" w:rsidRPr="002419E5" w:rsidRDefault="004F7BFA">
      <w:pPr>
        <w:pStyle w:val="2"/>
      </w:pPr>
      <w:r w:rsidRPr="002419E5">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p>
    <w:p w14:paraId="40041DD2" w14:textId="77777777" w:rsidR="004F7BFA" w:rsidRPr="002419E5" w:rsidRDefault="004F7BFA">
      <w:pPr>
        <w:ind w:left="200"/>
      </w:pPr>
      <w:r w:rsidRPr="002419E5">
        <w:rPr>
          <w:rStyle w:val="Subst"/>
          <w:bCs/>
          <w:iCs/>
        </w:rPr>
        <w:t>Соглашения или обязательства эмитента или подконтрольных эмитенту организаций, предусматривающие право участия работников эмитента и работников подконтрольных эмитенту организаций в уставном капитале, отсутствуют.</w:t>
      </w:r>
    </w:p>
    <w:p w14:paraId="78F8E8D6" w14:textId="77777777" w:rsidR="002C5FB1" w:rsidRPr="002419E5" w:rsidRDefault="002C5FB1">
      <w:pPr>
        <w:ind w:left="200"/>
        <w:rPr>
          <w:rStyle w:val="Subst"/>
          <w:bCs/>
          <w:iCs/>
        </w:rPr>
      </w:pPr>
    </w:p>
    <w:p w14:paraId="00095AFF" w14:textId="77777777" w:rsidR="004F7BFA" w:rsidRPr="002419E5" w:rsidRDefault="004F7BFA">
      <w:pPr>
        <w:ind w:left="200"/>
      </w:pPr>
      <w:r w:rsidRPr="002419E5">
        <w:rPr>
          <w:rStyle w:val="Subst"/>
          <w:bCs/>
          <w:iC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14:paraId="01F4A8DB" w14:textId="77777777" w:rsidR="004F7BFA" w:rsidRPr="002419E5" w:rsidRDefault="004F7BFA">
      <w:pPr>
        <w:pStyle w:val="1"/>
      </w:pPr>
      <w:r w:rsidRPr="002419E5">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p>
    <w:p w14:paraId="21FE803A" w14:textId="77777777" w:rsidR="004F7BFA" w:rsidRPr="002419E5" w:rsidRDefault="004F7BFA">
      <w:pPr>
        <w:pStyle w:val="2"/>
      </w:pPr>
      <w:r w:rsidRPr="002419E5">
        <w:t>3.1. Сведения об общем количестве акционеров (участников, членов) эмитента</w:t>
      </w:r>
    </w:p>
    <w:p w14:paraId="3B89E7B6" w14:textId="77777777" w:rsidR="004F7BFA" w:rsidRPr="002419E5" w:rsidRDefault="004F7BFA">
      <w:pPr>
        <w:ind w:left="200"/>
      </w:pPr>
      <w:r w:rsidRPr="002419E5">
        <w:rPr>
          <w:rStyle w:val="Subst"/>
          <w:bCs/>
          <w:iC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14:paraId="348B130D" w14:textId="77777777" w:rsidR="004F7BFA" w:rsidRPr="002419E5" w:rsidRDefault="004F7BFA">
      <w:pPr>
        <w:ind w:left="200"/>
      </w:pPr>
      <w:r w:rsidRPr="002419E5">
        <w:t>Общее количество лиц с ненулевыми остатками на лицевых счетах, зарегистрированных в реестре акционеров эмитента на дату окончания последнего отчетного периода:</w:t>
      </w:r>
      <w:r w:rsidRPr="002419E5">
        <w:rPr>
          <w:rStyle w:val="Subst"/>
          <w:bCs/>
          <w:iCs/>
        </w:rPr>
        <w:t xml:space="preserve"> 4 773</w:t>
      </w:r>
    </w:p>
    <w:p w14:paraId="56669CB5" w14:textId="77777777" w:rsidR="004F7BFA" w:rsidRPr="002419E5" w:rsidRDefault="004F7BFA">
      <w:pPr>
        <w:ind w:left="200"/>
      </w:pPr>
      <w:r w:rsidRPr="002419E5">
        <w:t>Общее количество номинальных держателей акций эмитента:</w:t>
      </w:r>
      <w:r w:rsidRPr="002419E5">
        <w:rPr>
          <w:rStyle w:val="Subst"/>
          <w:bCs/>
          <w:iCs/>
        </w:rPr>
        <w:t xml:space="preserve"> 7</w:t>
      </w:r>
    </w:p>
    <w:p w14:paraId="3996B46E" w14:textId="77777777" w:rsidR="004F7BFA" w:rsidRPr="002419E5" w:rsidRDefault="004F7BFA">
      <w:pPr>
        <w:pStyle w:val="ThinDelim"/>
      </w:pPr>
    </w:p>
    <w:p w14:paraId="6594B048" w14:textId="77777777" w:rsidR="004F7BFA" w:rsidRPr="002419E5" w:rsidRDefault="004F7BFA">
      <w:pPr>
        <w:ind w:left="200"/>
      </w:pPr>
      <w:r w:rsidRPr="002419E5">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2419E5">
        <w:rPr>
          <w:rStyle w:val="Subst"/>
          <w:bCs/>
          <w:iCs/>
        </w:rPr>
        <w:t xml:space="preserve"> 7 081</w:t>
      </w:r>
    </w:p>
    <w:p w14:paraId="143BAF92" w14:textId="77777777" w:rsidR="004F7BFA" w:rsidRPr="002419E5" w:rsidRDefault="004F7BFA">
      <w:pPr>
        <w:ind w:left="200"/>
      </w:pPr>
      <w:r w:rsidRPr="002419E5">
        <w:t>Дата, на которую в данном списке указывались лица, имеющие право осуществлять права по акциям эмитента:</w:t>
      </w:r>
      <w:r w:rsidRPr="002419E5">
        <w:rPr>
          <w:rStyle w:val="Subst"/>
          <w:bCs/>
          <w:iCs/>
        </w:rPr>
        <w:t xml:space="preserve"> 26.11.2024</w:t>
      </w:r>
    </w:p>
    <w:p w14:paraId="50CB3FB7" w14:textId="77777777" w:rsidR="004F7BFA" w:rsidRPr="002419E5" w:rsidRDefault="004F7BFA">
      <w:pPr>
        <w:ind w:left="200"/>
      </w:pPr>
      <w:r w:rsidRPr="002419E5">
        <w:t>Владельцы обыкновенных акций эмитента, которые подлежали включению в такой список:</w:t>
      </w:r>
      <w:r w:rsidRPr="002419E5">
        <w:rPr>
          <w:rStyle w:val="Subst"/>
          <w:bCs/>
          <w:iCs/>
        </w:rPr>
        <w:t xml:space="preserve"> 3 632</w:t>
      </w:r>
    </w:p>
    <w:p w14:paraId="20583ADB" w14:textId="77777777" w:rsidR="004F7BFA" w:rsidRPr="002419E5" w:rsidRDefault="004F7BFA">
      <w:pPr>
        <w:ind w:left="200"/>
      </w:pPr>
      <w:r w:rsidRPr="002419E5">
        <w:t>Владельцы привилегированных акций эмитента, которые подлежали включению в такой список:</w:t>
      </w:r>
      <w:r w:rsidRPr="002419E5">
        <w:rPr>
          <w:rStyle w:val="Subst"/>
          <w:bCs/>
          <w:iCs/>
        </w:rPr>
        <w:t xml:space="preserve"> 6 258</w:t>
      </w:r>
    </w:p>
    <w:p w14:paraId="73D6A232" w14:textId="77777777" w:rsidR="004F7BFA" w:rsidRPr="002419E5" w:rsidRDefault="004F7BFA">
      <w:pPr>
        <w:pStyle w:val="SubHeading"/>
        <w:ind w:left="200"/>
      </w:pPr>
      <w:r w:rsidRPr="002419E5">
        <w:t>Информация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по каждой категории (типу) акций</w:t>
      </w:r>
    </w:p>
    <w:p w14:paraId="0C1952AD" w14:textId="77777777" w:rsidR="004F7BFA" w:rsidRPr="002419E5" w:rsidRDefault="004F7BFA">
      <w:pPr>
        <w:ind w:left="400"/>
      </w:pPr>
      <w:r w:rsidRPr="002419E5">
        <w:rPr>
          <w:rStyle w:val="Subst"/>
          <w:bCs/>
          <w:iCs/>
        </w:rPr>
        <w:t>Собственных акций, находящихся на балансе эмитента нет</w:t>
      </w:r>
    </w:p>
    <w:p w14:paraId="428569B9" w14:textId="77777777" w:rsidR="004F7BFA" w:rsidRPr="002419E5" w:rsidRDefault="004F7BFA">
      <w:pPr>
        <w:pStyle w:val="SubHeading"/>
        <w:ind w:left="200"/>
      </w:pPr>
      <w:r w:rsidRPr="002419E5">
        <w:t>Информация о количестве акций эмитента, принадлежащих подконтрольным ему организациям</w:t>
      </w:r>
    </w:p>
    <w:p w14:paraId="1335C4DD" w14:textId="77777777" w:rsidR="004F7BFA" w:rsidRPr="002419E5" w:rsidRDefault="004F7BFA">
      <w:pPr>
        <w:ind w:left="400"/>
      </w:pPr>
      <w:r w:rsidRPr="002419E5">
        <w:rPr>
          <w:rStyle w:val="Subst"/>
          <w:bCs/>
          <w:iCs/>
        </w:rPr>
        <w:t>Акций эмитента, принадлежащих подконтрольным ему организациям нет</w:t>
      </w:r>
    </w:p>
    <w:p w14:paraId="10CDFFEB" w14:textId="77777777" w:rsidR="004F7BFA" w:rsidRPr="002419E5" w:rsidRDefault="004F7BFA">
      <w:pPr>
        <w:pStyle w:val="2"/>
      </w:pPr>
      <w:r w:rsidRPr="002419E5">
        <w:lastRenderedPageBreak/>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p>
    <w:p w14:paraId="49DFA599" w14:textId="77777777" w:rsidR="004F7BFA" w:rsidRPr="002419E5" w:rsidRDefault="004F7BFA">
      <w:pPr>
        <w:ind w:left="200"/>
      </w:pPr>
      <w:r w:rsidRPr="002419E5">
        <w:rPr>
          <w:rStyle w:val="Subst"/>
          <w:bCs/>
          <w:iC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14:paraId="23E0C682" w14:textId="77777777" w:rsidR="004F7BFA" w:rsidRPr="002419E5" w:rsidRDefault="004F7BFA">
      <w:pPr>
        <w:ind w:left="200"/>
      </w:pPr>
    </w:p>
    <w:p w14:paraId="76C87BC4" w14:textId="77777777" w:rsidR="00AA78EE" w:rsidRPr="002419E5" w:rsidRDefault="00AA78EE" w:rsidP="00AA78EE">
      <w:pPr>
        <w:ind w:left="200"/>
      </w:pPr>
      <w:r w:rsidRPr="002419E5">
        <w:rPr>
          <w:b/>
          <w:bCs/>
          <w:i/>
          <w:iCs/>
        </w:rPr>
        <w:t>Информация не раскрывается по основаниям, предусмотренным действующим законодательством.</w:t>
      </w:r>
    </w:p>
    <w:p w14:paraId="4B617534" w14:textId="77777777" w:rsidR="004F7BFA" w:rsidRPr="002419E5" w:rsidRDefault="004F7BFA">
      <w:pPr>
        <w:pStyle w:val="2"/>
      </w:pPr>
      <w:r w:rsidRPr="002419E5">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p>
    <w:p w14:paraId="74DA2CD8" w14:textId="77777777" w:rsidR="004F7BFA" w:rsidRPr="002419E5" w:rsidRDefault="004F7BFA">
      <w:pPr>
        <w:ind w:left="200"/>
      </w:pPr>
      <w:r w:rsidRPr="002419E5">
        <w:rPr>
          <w:rStyle w:val="Subst"/>
          <w:bCs/>
          <w:iC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14:paraId="70F75C51" w14:textId="77777777" w:rsidR="004F7BFA" w:rsidRPr="002419E5" w:rsidRDefault="004F7BFA">
      <w:pPr>
        <w:ind w:left="200"/>
      </w:pPr>
      <w:r w:rsidRPr="002419E5">
        <w:rPr>
          <w:rStyle w:val="Subst"/>
          <w:bCs/>
          <w:iCs/>
        </w:rPr>
        <w:t>В уставном капитале эмитента нет долей, находящихся в государственной (федеральной) собственности</w:t>
      </w:r>
    </w:p>
    <w:p w14:paraId="5C9D8762" w14:textId="77777777" w:rsidR="004F7BFA" w:rsidRPr="002419E5" w:rsidRDefault="004F7BFA">
      <w:pPr>
        <w:ind w:left="200"/>
      </w:pPr>
      <w:r w:rsidRPr="002419E5">
        <w:rPr>
          <w:rStyle w:val="Subst"/>
          <w:bCs/>
          <w:iCs/>
        </w:rPr>
        <w:t>В уставном капитале эмитента нет долей, находящихся в собственности субъектов Российской Федерации</w:t>
      </w:r>
    </w:p>
    <w:p w14:paraId="225FB377" w14:textId="77777777" w:rsidR="004F7BFA" w:rsidRPr="002419E5" w:rsidRDefault="004F7BFA">
      <w:pPr>
        <w:ind w:left="200"/>
      </w:pPr>
      <w:r w:rsidRPr="002419E5">
        <w:rPr>
          <w:rStyle w:val="Subst"/>
          <w:bCs/>
          <w:iCs/>
        </w:rPr>
        <w:t>В уставном капитале эмитента нет долей, находящихся в муниципальной собственности</w:t>
      </w:r>
    </w:p>
    <w:p w14:paraId="4C748F2E" w14:textId="77777777" w:rsidR="004F7BFA" w:rsidRPr="002419E5" w:rsidRDefault="004F7BFA">
      <w:pPr>
        <w:pStyle w:val="SubHeading"/>
        <w:ind w:left="200"/>
      </w:pPr>
      <w:r w:rsidRPr="002419E5">
        <w:t>Сведения об управляющих государственными, муниципальными пакетами акций</w:t>
      </w:r>
    </w:p>
    <w:p w14:paraId="2EA5C555" w14:textId="77777777" w:rsidR="004F7BFA" w:rsidRPr="002419E5" w:rsidRDefault="004F7BFA">
      <w:pPr>
        <w:ind w:left="400"/>
      </w:pPr>
      <w:r w:rsidRPr="002419E5">
        <w:rPr>
          <w:rStyle w:val="Subst"/>
          <w:bCs/>
          <w:iCs/>
        </w:rPr>
        <w:t>Указанных лиц нет</w:t>
      </w:r>
    </w:p>
    <w:p w14:paraId="28901DC1" w14:textId="77777777" w:rsidR="004F7BFA" w:rsidRPr="002419E5" w:rsidRDefault="004F7BFA">
      <w:pPr>
        <w:pStyle w:val="SubHeading"/>
        <w:ind w:left="200"/>
      </w:pPr>
      <w:r w:rsidRPr="002419E5">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3BD240B7" w14:textId="77777777" w:rsidR="004F7BFA" w:rsidRPr="002419E5" w:rsidRDefault="004F7BFA">
      <w:pPr>
        <w:ind w:left="400"/>
      </w:pPr>
      <w:r w:rsidRPr="002419E5">
        <w:rPr>
          <w:rStyle w:val="Subst"/>
          <w:bCs/>
          <w:iCs/>
        </w:rPr>
        <w:t>Указанных лиц нет</w:t>
      </w:r>
    </w:p>
    <w:p w14:paraId="0C0990E3" w14:textId="77777777" w:rsidR="004F7BFA" w:rsidRPr="002419E5" w:rsidRDefault="004F7BFA">
      <w:pPr>
        <w:pStyle w:val="SubHeading"/>
        <w:ind w:left="200"/>
      </w:pPr>
      <w:r w:rsidRPr="002419E5">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66081739" w14:textId="77777777" w:rsidR="004F7BFA" w:rsidRPr="002419E5" w:rsidRDefault="004F7BFA">
      <w:pPr>
        <w:ind w:left="400"/>
      </w:pPr>
      <w:r w:rsidRPr="002419E5">
        <w:rPr>
          <w:rStyle w:val="Subst"/>
          <w:bCs/>
          <w:iCs/>
        </w:rPr>
        <w:t>Указанное право не предусмотрено</w:t>
      </w:r>
    </w:p>
    <w:p w14:paraId="5F6FDFD7" w14:textId="77777777" w:rsidR="004F7BFA" w:rsidRPr="002419E5" w:rsidRDefault="004F7BFA">
      <w:pPr>
        <w:pStyle w:val="2"/>
      </w:pPr>
      <w:r w:rsidRPr="002419E5">
        <w:t>3.4. Сделки эмитента, в совершении которых имелась заинтересованность</w:t>
      </w:r>
    </w:p>
    <w:p w14:paraId="5142BBA1" w14:textId="77777777" w:rsidR="00BC4552" w:rsidRPr="002419E5" w:rsidRDefault="00BC4552" w:rsidP="00BC4552">
      <w:pPr>
        <w:pStyle w:val="SubHeading"/>
        <w:ind w:left="200"/>
      </w:pPr>
      <w:r w:rsidRPr="002419E5">
        <w:t>Перечень совершенных эмитентом в отчетном году сделок, признаваемых в соответствии с Федеральным законом "Об акционерных обществах" сделками, в совершении которых имелась заинтересованность</w:t>
      </w:r>
    </w:p>
    <w:p w14:paraId="61E3D315" w14:textId="77777777" w:rsidR="002343CC" w:rsidRPr="002419E5" w:rsidRDefault="002343CC" w:rsidP="002343CC">
      <w:pPr>
        <w:ind w:left="200"/>
        <w:rPr>
          <w:b/>
          <w:bCs/>
          <w:i/>
          <w:iCs/>
        </w:rPr>
      </w:pPr>
    </w:p>
    <w:p w14:paraId="7C25C21D" w14:textId="77777777" w:rsidR="002343CC" w:rsidRPr="002419E5" w:rsidRDefault="002343CC" w:rsidP="002343CC">
      <w:pPr>
        <w:ind w:left="200"/>
      </w:pPr>
      <w:r w:rsidRPr="002419E5">
        <w:rPr>
          <w:b/>
          <w:bCs/>
          <w:i/>
          <w:iCs/>
        </w:rPr>
        <w:t>Информация не раскрывается по основаниям, предусмотренным действующим законодательством.</w:t>
      </w:r>
    </w:p>
    <w:p w14:paraId="1A517AD3" w14:textId="55D799F3" w:rsidR="004F7BFA" w:rsidRPr="002419E5" w:rsidRDefault="004F7BFA">
      <w:pPr>
        <w:pStyle w:val="2"/>
      </w:pPr>
      <w:r w:rsidRPr="002419E5">
        <w:t>3.5. Крупные сделки эмитента</w:t>
      </w:r>
    </w:p>
    <w:p w14:paraId="5F002684" w14:textId="77777777" w:rsidR="008F2C09" w:rsidRPr="002419E5" w:rsidRDefault="008F2C09" w:rsidP="008F2C09">
      <w:pPr>
        <w:pStyle w:val="SubHeading"/>
        <w:ind w:left="200"/>
      </w:pPr>
      <w:r w:rsidRPr="002419E5">
        <w:t>Перечень совершенных эмитентом в отчетном году сделок, признаваемых в соответствии с Федеральным законом "Об акционерных обществах" крупными сделками</w:t>
      </w:r>
    </w:p>
    <w:p w14:paraId="4B39EE52" w14:textId="77777777" w:rsidR="00E7563E" w:rsidRPr="002419E5" w:rsidRDefault="00E7563E" w:rsidP="00E7563E"/>
    <w:p w14:paraId="6EB9F2C6" w14:textId="77777777" w:rsidR="00E40680" w:rsidRPr="002419E5" w:rsidRDefault="00E40680" w:rsidP="002966EF">
      <w:pPr>
        <w:ind w:left="200"/>
      </w:pPr>
      <w:r w:rsidRPr="002419E5">
        <w:rPr>
          <w:b/>
          <w:bCs/>
          <w:i/>
          <w:iCs/>
        </w:rPr>
        <w:t>Информация не раскрывается по основаниям, предусмотренным действующим законодательством.</w:t>
      </w:r>
    </w:p>
    <w:p w14:paraId="6EA39A53" w14:textId="77777777" w:rsidR="004F7BFA" w:rsidRPr="002419E5" w:rsidRDefault="004F7BFA">
      <w:pPr>
        <w:pStyle w:val="1"/>
      </w:pPr>
      <w:r w:rsidRPr="002419E5">
        <w:t>Раздел 4. Дополнительные сведения об эмитенте и о размещенных им ценных бумагах</w:t>
      </w:r>
    </w:p>
    <w:p w14:paraId="156460DC" w14:textId="77777777" w:rsidR="004F7BFA" w:rsidRPr="002419E5" w:rsidRDefault="004F7BFA">
      <w:pPr>
        <w:pStyle w:val="2"/>
      </w:pPr>
      <w:r w:rsidRPr="002419E5">
        <w:lastRenderedPageBreak/>
        <w:t>4.1. Подконтрольные эмитенту организации, имеющие для него существенное значение</w:t>
      </w:r>
    </w:p>
    <w:p w14:paraId="46E49164" w14:textId="77777777" w:rsidR="004F7BFA" w:rsidRPr="002419E5" w:rsidRDefault="004F7BFA">
      <w:pPr>
        <w:ind w:left="200"/>
      </w:pPr>
      <w:r w:rsidRPr="002419E5">
        <w:rPr>
          <w:rStyle w:val="Subst"/>
          <w:bCs/>
          <w:iCs/>
        </w:rPr>
        <w:t>Эмитент не имеет подконтрольных организаций, имеющих для него существенное значение</w:t>
      </w:r>
    </w:p>
    <w:p w14:paraId="49AA8F61" w14:textId="77777777" w:rsidR="004F7BFA" w:rsidRPr="002419E5" w:rsidRDefault="004F7BFA">
      <w:pPr>
        <w:ind w:left="200"/>
      </w:pPr>
    </w:p>
    <w:p w14:paraId="2F4B6537" w14:textId="77777777" w:rsidR="004F7BFA" w:rsidRPr="002419E5" w:rsidRDefault="004F7BFA">
      <w:pPr>
        <w:ind w:left="200"/>
      </w:pPr>
      <w:r w:rsidRPr="002419E5">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14:paraId="7A76B4CF" w14:textId="77777777" w:rsidR="004F7BFA" w:rsidRPr="002419E5" w:rsidRDefault="004F7BFA">
      <w:pPr>
        <w:pStyle w:val="2"/>
      </w:pPr>
      <w:r w:rsidRPr="002419E5">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p>
    <w:p w14:paraId="3703747E" w14:textId="77777777" w:rsidR="004F7BFA" w:rsidRPr="002419E5" w:rsidRDefault="004F7BFA">
      <w:pPr>
        <w:ind w:left="200"/>
      </w:pPr>
      <w:r w:rsidRPr="002419E5">
        <w:rPr>
          <w:rStyle w:val="Subst"/>
          <w:bCs/>
          <w:iCs/>
        </w:rPr>
        <w:t>У эмитента отсутствуют в обращении облигации, в том числе размещённые в рамках программы облигаций, которые бы идентифицировались эмитентом как "зеленые облигации" и (или) "социальные облигации", и (или) "облигации устойчивого развития", и (или) "адаптационные облигации"</w:t>
      </w:r>
    </w:p>
    <w:p w14:paraId="1A98D307" w14:textId="77777777" w:rsidR="004F7BFA" w:rsidRPr="002419E5" w:rsidRDefault="004F7BFA">
      <w:pPr>
        <w:pStyle w:val="2"/>
      </w:pPr>
      <w:r w:rsidRPr="002419E5">
        <w:t>4.2.1. Информация о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p>
    <w:p w14:paraId="73E4716E" w14:textId="77777777" w:rsidR="004F7BFA" w:rsidRPr="002419E5" w:rsidRDefault="004F7BFA">
      <w:pPr>
        <w:ind w:left="200"/>
      </w:pPr>
      <w:r w:rsidRPr="002419E5">
        <w:t>Информация не приводится, т.к. у эмитента отсутствуют в обращении облигации, в том числе размещённые в рамках программы облигаций, которые бы идентифицировались обществом как "зеленые облигации" и (или) "социальные облигации", и (или) "облигации устойчивого развития", и (или) "адаптационные облигации"</w:t>
      </w:r>
    </w:p>
    <w:p w14:paraId="1DE08A84" w14:textId="77777777" w:rsidR="004F7BFA" w:rsidRPr="002419E5" w:rsidRDefault="004F7BFA">
      <w:pPr>
        <w:pStyle w:val="2"/>
      </w:pPr>
      <w:r w:rsidRPr="002419E5">
        <w:t>4.2.2. Описание политики эмитента по управлению денежными средствами, полученными от размещения зеленых облигаций, социальных облигаций, облигаций устойчивого развития, адаптационных облигаций</w:t>
      </w:r>
    </w:p>
    <w:p w14:paraId="4A2E9FAD" w14:textId="77777777" w:rsidR="004F7BFA" w:rsidRPr="002419E5" w:rsidRDefault="004F7BFA">
      <w:pPr>
        <w:ind w:left="200"/>
      </w:pPr>
      <w:r w:rsidRPr="002419E5">
        <w:t>Информация не приводится, т.к. у эмитента отсутствуют в обращении облигации, в том числе размещённые в рамках программы облигаций, которые бы идентифицировались обществом как "зеленые облигации" и (или) "социальные облигации", и (или) "облигации устойчивого развития", и (или) "адаптационные облигации"</w:t>
      </w:r>
    </w:p>
    <w:p w14:paraId="79B092C0" w14:textId="77777777" w:rsidR="004F7BFA" w:rsidRPr="002419E5" w:rsidRDefault="004F7BFA">
      <w:pPr>
        <w:pStyle w:val="2"/>
      </w:pPr>
      <w:r w:rsidRPr="002419E5">
        <w:t>4.2.3. Отчет об использовании денежных средств, полученных от размещения зеленых облигаций, социальных облигаций, облигаций устойчивого развития, адаптационных облигаций</w:t>
      </w:r>
    </w:p>
    <w:p w14:paraId="05FAC6F7" w14:textId="77777777" w:rsidR="004F7BFA" w:rsidRPr="002419E5" w:rsidRDefault="004F7BFA">
      <w:pPr>
        <w:ind w:left="200"/>
      </w:pPr>
      <w:r w:rsidRPr="002419E5">
        <w:t>Информация не приводится, т.к. у эмитента отсутствуют в обращении облигации, в том числе размещённые в рамках программы облигаций, которые бы идентифицировались обществом как "зеленые облигации" и (или) "социальные облигации", и (или) "облигации устойчивого развития", и (или) "адаптационные облигации"</w:t>
      </w:r>
    </w:p>
    <w:p w14:paraId="00AFA4E9" w14:textId="77777777" w:rsidR="004F7BFA" w:rsidRPr="002419E5" w:rsidRDefault="004F7BFA">
      <w:pPr>
        <w:pStyle w:val="2"/>
      </w:pPr>
      <w:r w:rsidRPr="002419E5">
        <w:t>4.2(1). Дополнительные сведения, раскрываемые эмитентами инфраструктурных облигаций</w:t>
      </w:r>
    </w:p>
    <w:p w14:paraId="6D563471" w14:textId="77777777" w:rsidR="004F7BFA" w:rsidRPr="002419E5" w:rsidRDefault="004F7BFA">
      <w:pPr>
        <w:ind w:left="200"/>
      </w:pPr>
      <w:r w:rsidRPr="002419E5">
        <w:rPr>
          <w:rStyle w:val="Subst"/>
          <w:bCs/>
          <w:iCs/>
        </w:rPr>
        <w:t>У эмитента отсутствуют в обращении инфраструктурные облигации</w:t>
      </w:r>
    </w:p>
    <w:p w14:paraId="1F26BCEE" w14:textId="77777777" w:rsidR="004F7BFA" w:rsidRPr="002419E5" w:rsidRDefault="004F7BFA">
      <w:pPr>
        <w:pStyle w:val="2"/>
      </w:pPr>
      <w:r w:rsidRPr="002419E5">
        <w:t>4.2(2). Дополнительные сведения, раскрываемые эмитентами облигаций, связанных с целями устойчивого развития</w:t>
      </w:r>
    </w:p>
    <w:p w14:paraId="2C2AA871" w14:textId="77777777" w:rsidR="004F7BFA" w:rsidRPr="002419E5" w:rsidRDefault="004F7BFA">
      <w:pPr>
        <w:ind w:left="200"/>
      </w:pPr>
      <w:r w:rsidRPr="002419E5">
        <w:rPr>
          <w:rStyle w:val="Subst"/>
          <w:bCs/>
          <w:iCs/>
        </w:rPr>
        <w:t>У эмитента отсутствуют в обращении облигации, связанные с целями устойчивого развития</w:t>
      </w:r>
    </w:p>
    <w:p w14:paraId="7B8CB071" w14:textId="77777777" w:rsidR="004F7BFA" w:rsidRPr="002419E5" w:rsidRDefault="004F7BFA">
      <w:pPr>
        <w:pStyle w:val="2"/>
      </w:pPr>
      <w:r w:rsidRPr="002419E5">
        <w:t>4.2(3). Дополнительные сведения, раскрываемые эмитентами облигаций климатического перехода</w:t>
      </w:r>
    </w:p>
    <w:p w14:paraId="5F59E47F" w14:textId="77777777" w:rsidR="004F7BFA" w:rsidRPr="002419E5" w:rsidRDefault="004F7BFA">
      <w:pPr>
        <w:ind w:left="200"/>
      </w:pPr>
      <w:r w:rsidRPr="002419E5">
        <w:rPr>
          <w:rStyle w:val="Subst"/>
          <w:bCs/>
          <w:iCs/>
        </w:rPr>
        <w:t>У эмитента отсутствуют в обращении облигации климатического перехода</w:t>
      </w:r>
    </w:p>
    <w:p w14:paraId="169FC94F" w14:textId="77777777" w:rsidR="004F7BFA" w:rsidRPr="002419E5" w:rsidRDefault="004F7BFA">
      <w:pPr>
        <w:pStyle w:val="2"/>
      </w:pPr>
      <w:r w:rsidRPr="002419E5">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14:paraId="0AFAA821" w14:textId="77777777" w:rsidR="004F7BFA" w:rsidRPr="002419E5" w:rsidRDefault="004F7BFA">
      <w:pPr>
        <w:ind w:left="200"/>
      </w:pPr>
    </w:p>
    <w:p w14:paraId="4D10B7F4" w14:textId="77777777" w:rsidR="004F7BFA" w:rsidRPr="002419E5" w:rsidRDefault="004F7BFA">
      <w:pPr>
        <w:ind w:left="200"/>
      </w:pPr>
      <w:r w:rsidRPr="002419E5">
        <w:t xml:space="preserve">В обращении нет облигаций эмитента, в отношении которых зарегистрирован проспект или </w:t>
      </w:r>
      <w:r w:rsidRPr="002419E5">
        <w:lastRenderedPageBreak/>
        <w:t>размещенные путем открытой подписки, в отношении которых предоставлено обеспечение</w:t>
      </w:r>
    </w:p>
    <w:p w14:paraId="156DEDCD" w14:textId="77777777" w:rsidR="004F7BFA" w:rsidRPr="002419E5" w:rsidRDefault="004F7BFA">
      <w:pPr>
        <w:pStyle w:val="2"/>
      </w:pPr>
      <w:r w:rsidRPr="002419E5">
        <w:t>4.3.1. Дополнительные сведения об ипотечном покрытии по облигациям эмитента с ипотечным покрытием</w:t>
      </w:r>
    </w:p>
    <w:p w14:paraId="35488300" w14:textId="77777777" w:rsidR="004F7BFA" w:rsidRPr="002419E5" w:rsidRDefault="004F7BFA">
      <w:pPr>
        <w:ind w:left="200"/>
      </w:pPr>
      <w:r w:rsidRPr="002419E5">
        <w:rPr>
          <w:rStyle w:val="Subst"/>
          <w:bCs/>
          <w:iCs/>
        </w:rPr>
        <w:t>Информация в настоящем пункте не приводится в связи с тем, что эмитент не размещал облигации с ипотечным покрытием</w:t>
      </w:r>
    </w:p>
    <w:p w14:paraId="39D67350" w14:textId="77777777" w:rsidR="004F7BFA" w:rsidRPr="002419E5" w:rsidRDefault="004F7BFA">
      <w:pPr>
        <w:pStyle w:val="2"/>
      </w:pPr>
      <w:r w:rsidRPr="002419E5">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14:paraId="73129582" w14:textId="77777777" w:rsidR="004F7BFA" w:rsidRPr="002419E5" w:rsidRDefault="004F7BFA">
      <w:pPr>
        <w:ind w:left="200"/>
      </w:pPr>
      <w:r w:rsidRPr="002419E5">
        <w:rPr>
          <w:rStyle w:val="Subst"/>
          <w:bCs/>
          <w:iCs/>
        </w:rPr>
        <w:t>Информация в настоящем пункте не приводится в связи с тем, что эмитент не выпускал облигации с залоговым обеспечением денежными требованиями</w:t>
      </w:r>
    </w:p>
    <w:p w14:paraId="2AFE8713" w14:textId="77777777" w:rsidR="004F7BFA" w:rsidRPr="002419E5" w:rsidRDefault="004F7BFA">
      <w:pPr>
        <w:ind w:left="200"/>
      </w:pPr>
    </w:p>
    <w:p w14:paraId="0190BEA5" w14:textId="77777777" w:rsidR="004F7BFA" w:rsidRPr="002419E5" w:rsidRDefault="004F7BFA">
      <w:pPr>
        <w:ind w:left="200"/>
      </w:pPr>
      <w:r w:rsidRPr="002419E5">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14:paraId="28EE7225" w14:textId="77777777" w:rsidR="004F7BFA" w:rsidRPr="002419E5" w:rsidRDefault="004F7BFA">
      <w:pPr>
        <w:pStyle w:val="2"/>
      </w:pPr>
      <w:r w:rsidRPr="002419E5">
        <w:t>4.4. Сведения об объявленных и выплаченных дивидендах по акциям эмитента</w:t>
      </w:r>
    </w:p>
    <w:p w14:paraId="5E9DC3BE" w14:textId="77777777" w:rsidR="004F7BFA" w:rsidRPr="002419E5" w:rsidRDefault="004F7BFA">
      <w:pPr>
        <w:ind w:left="200"/>
      </w:pPr>
      <w:r w:rsidRPr="002419E5">
        <w:t>Информация указывается в отношении дивидендов, решение о выплате (объявлении) которых принято в течение трех последних завершенных отчетных лет либо в течение всего срока с даты государственной регистрации эмитента, если эмитент осуществляет свою деятельность менее трех лет.</w:t>
      </w:r>
    </w:p>
    <w:p w14:paraId="656B2E3E" w14:textId="77777777" w:rsidR="004F7BFA" w:rsidRPr="002419E5" w:rsidRDefault="004F7BFA">
      <w:pPr>
        <w:pStyle w:val="ThinDelim"/>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4F7BFA" w:rsidRPr="002419E5" w14:paraId="2EE4761C" w14:textId="77777777">
        <w:tc>
          <w:tcPr>
            <w:tcW w:w="692" w:type="dxa"/>
            <w:tcBorders>
              <w:top w:val="double" w:sz="6" w:space="0" w:color="auto"/>
              <w:left w:val="double" w:sz="6" w:space="0" w:color="auto"/>
              <w:bottom w:val="single" w:sz="6" w:space="0" w:color="auto"/>
              <w:right w:val="single" w:sz="6" w:space="0" w:color="auto"/>
            </w:tcBorders>
          </w:tcPr>
          <w:p w14:paraId="5BD9FD5A" w14:textId="77777777" w:rsidR="004F7BFA" w:rsidRPr="002419E5" w:rsidRDefault="004F7BFA">
            <w:pPr>
              <w:jc w:val="center"/>
            </w:pPr>
            <w:r w:rsidRPr="002419E5">
              <w:t>N п/п</w:t>
            </w:r>
          </w:p>
        </w:tc>
        <w:tc>
          <w:tcPr>
            <w:tcW w:w="5120" w:type="dxa"/>
            <w:tcBorders>
              <w:top w:val="double" w:sz="6" w:space="0" w:color="auto"/>
              <w:left w:val="single" w:sz="6" w:space="0" w:color="auto"/>
              <w:bottom w:val="single" w:sz="6" w:space="0" w:color="auto"/>
              <w:right w:val="single" w:sz="6" w:space="0" w:color="auto"/>
            </w:tcBorders>
          </w:tcPr>
          <w:p w14:paraId="54D95710" w14:textId="77777777" w:rsidR="004F7BFA" w:rsidRPr="002419E5" w:rsidRDefault="004F7BFA">
            <w:pPr>
              <w:jc w:val="center"/>
            </w:pPr>
            <w:r w:rsidRPr="002419E5">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30EDD3D6" w14:textId="77777777" w:rsidR="004F7BFA" w:rsidRPr="002419E5" w:rsidRDefault="004F7BFA">
            <w:pPr>
              <w:jc w:val="center"/>
            </w:pPr>
            <w:r w:rsidRPr="002419E5">
              <w:t>Отчетный период, за который (по результатам которого) выплачиваются (выплачивались) объявленные дивиденды - 2022г., полный год</w:t>
            </w:r>
          </w:p>
        </w:tc>
      </w:tr>
      <w:tr w:rsidR="004F7BFA" w:rsidRPr="002419E5" w14:paraId="1E4A3D20" w14:textId="77777777">
        <w:tc>
          <w:tcPr>
            <w:tcW w:w="692" w:type="dxa"/>
            <w:tcBorders>
              <w:top w:val="single" w:sz="6" w:space="0" w:color="auto"/>
              <w:left w:val="double" w:sz="6" w:space="0" w:color="auto"/>
              <w:bottom w:val="single" w:sz="6" w:space="0" w:color="auto"/>
              <w:right w:val="single" w:sz="6" w:space="0" w:color="auto"/>
            </w:tcBorders>
          </w:tcPr>
          <w:p w14:paraId="0D93E0F3" w14:textId="77777777" w:rsidR="004F7BFA" w:rsidRPr="002419E5" w:rsidRDefault="004F7BFA">
            <w:pPr>
              <w:jc w:val="center"/>
            </w:pPr>
            <w:r w:rsidRPr="002419E5">
              <w:t>1</w:t>
            </w:r>
          </w:p>
        </w:tc>
        <w:tc>
          <w:tcPr>
            <w:tcW w:w="5120" w:type="dxa"/>
            <w:tcBorders>
              <w:top w:val="single" w:sz="6" w:space="0" w:color="auto"/>
              <w:left w:val="single" w:sz="6" w:space="0" w:color="auto"/>
              <w:bottom w:val="single" w:sz="6" w:space="0" w:color="auto"/>
              <w:right w:val="single" w:sz="6" w:space="0" w:color="auto"/>
            </w:tcBorders>
          </w:tcPr>
          <w:p w14:paraId="7D297668" w14:textId="77777777" w:rsidR="004F7BFA" w:rsidRPr="002419E5" w:rsidRDefault="004F7BFA">
            <w:pPr>
              <w:jc w:val="center"/>
            </w:pPr>
            <w:r w:rsidRPr="002419E5">
              <w:t>2</w:t>
            </w:r>
          </w:p>
        </w:tc>
        <w:tc>
          <w:tcPr>
            <w:tcW w:w="3440" w:type="dxa"/>
            <w:tcBorders>
              <w:top w:val="single" w:sz="6" w:space="0" w:color="auto"/>
              <w:left w:val="single" w:sz="6" w:space="0" w:color="auto"/>
              <w:bottom w:val="single" w:sz="6" w:space="0" w:color="auto"/>
              <w:right w:val="double" w:sz="6" w:space="0" w:color="auto"/>
            </w:tcBorders>
          </w:tcPr>
          <w:p w14:paraId="3AB07376" w14:textId="77777777" w:rsidR="004F7BFA" w:rsidRPr="002419E5" w:rsidRDefault="004F7BFA">
            <w:pPr>
              <w:jc w:val="center"/>
            </w:pPr>
            <w:r w:rsidRPr="002419E5">
              <w:t>3</w:t>
            </w:r>
          </w:p>
        </w:tc>
      </w:tr>
      <w:tr w:rsidR="004F7BFA" w:rsidRPr="002419E5" w14:paraId="78277FD9" w14:textId="77777777">
        <w:tc>
          <w:tcPr>
            <w:tcW w:w="692" w:type="dxa"/>
            <w:tcBorders>
              <w:top w:val="single" w:sz="6" w:space="0" w:color="auto"/>
              <w:left w:val="double" w:sz="6" w:space="0" w:color="auto"/>
              <w:bottom w:val="single" w:sz="6" w:space="0" w:color="auto"/>
              <w:right w:val="single" w:sz="6" w:space="0" w:color="auto"/>
            </w:tcBorders>
          </w:tcPr>
          <w:p w14:paraId="2117C480" w14:textId="77777777" w:rsidR="004F7BFA" w:rsidRPr="002419E5" w:rsidRDefault="004F7BFA">
            <w:pPr>
              <w:jc w:val="center"/>
            </w:pPr>
            <w:r w:rsidRPr="002419E5">
              <w:t>1</w:t>
            </w:r>
          </w:p>
        </w:tc>
        <w:tc>
          <w:tcPr>
            <w:tcW w:w="8560" w:type="dxa"/>
            <w:gridSpan w:val="2"/>
            <w:tcBorders>
              <w:top w:val="single" w:sz="6" w:space="0" w:color="auto"/>
              <w:left w:val="single" w:sz="6" w:space="0" w:color="auto"/>
              <w:bottom w:val="single" w:sz="6" w:space="0" w:color="auto"/>
              <w:right w:val="double" w:sz="6" w:space="0" w:color="auto"/>
            </w:tcBorders>
          </w:tcPr>
          <w:p w14:paraId="27DA2E1B" w14:textId="77777777" w:rsidR="004F7BFA" w:rsidRPr="002419E5" w:rsidRDefault="004F7BFA">
            <w:pPr>
              <w:jc w:val="center"/>
            </w:pPr>
            <w:r w:rsidRPr="002419E5">
              <w:t>Категория (тип) акций: обыкновенные</w:t>
            </w:r>
          </w:p>
        </w:tc>
      </w:tr>
      <w:tr w:rsidR="004F7BFA" w:rsidRPr="002419E5" w14:paraId="79A5DAD8" w14:textId="77777777">
        <w:tc>
          <w:tcPr>
            <w:tcW w:w="9252" w:type="dxa"/>
            <w:gridSpan w:val="3"/>
            <w:tcBorders>
              <w:top w:val="single" w:sz="6" w:space="0" w:color="auto"/>
              <w:left w:val="double" w:sz="6" w:space="0" w:color="auto"/>
              <w:bottom w:val="double" w:sz="6" w:space="0" w:color="auto"/>
              <w:right w:val="double" w:sz="6" w:space="0" w:color="auto"/>
            </w:tcBorders>
          </w:tcPr>
          <w:p w14:paraId="1E6090F5" w14:textId="77777777" w:rsidR="004F7BFA" w:rsidRPr="002419E5" w:rsidRDefault="004F7BFA">
            <w:pPr>
              <w:jc w:val="center"/>
            </w:pPr>
            <w:r w:rsidRPr="002419E5">
              <w:t>В течение указанного периода решений о выплате дивидендов эмитентом не принималось</w:t>
            </w:r>
          </w:p>
        </w:tc>
      </w:tr>
    </w:tbl>
    <w:p w14:paraId="6AC99A7C" w14:textId="77777777" w:rsidR="004F7BFA" w:rsidRPr="002419E5" w:rsidRDefault="004F7BFA"/>
    <w:p w14:paraId="5338775D" w14:textId="77777777" w:rsidR="004F7BFA" w:rsidRPr="002419E5" w:rsidRDefault="004F7BFA">
      <w:pPr>
        <w:ind w:left="200"/>
      </w:pPr>
    </w:p>
    <w:p w14:paraId="38480F6A" w14:textId="77777777" w:rsidR="004F7BFA" w:rsidRPr="002419E5" w:rsidRDefault="004F7BFA">
      <w:pPr>
        <w:pStyle w:val="ThinDelim"/>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4F7BFA" w:rsidRPr="002419E5" w14:paraId="2B759A76" w14:textId="77777777">
        <w:tc>
          <w:tcPr>
            <w:tcW w:w="692" w:type="dxa"/>
            <w:tcBorders>
              <w:top w:val="double" w:sz="6" w:space="0" w:color="auto"/>
              <w:left w:val="double" w:sz="6" w:space="0" w:color="auto"/>
              <w:bottom w:val="single" w:sz="6" w:space="0" w:color="auto"/>
              <w:right w:val="single" w:sz="6" w:space="0" w:color="auto"/>
            </w:tcBorders>
          </w:tcPr>
          <w:p w14:paraId="3F842D2D" w14:textId="77777777" w:rsidR="004F7BFA" w:rsidRPr="002419E5" w:rsidRDefault="004F7BFA">
            <w:pPr>
              <w:jc w:val="center"/>
            </w:pPr>
            <w:r w:rsidRPr="002419E5">
              <w:t>N п/п</w:t>
            </w:r>
          </w:p>
        </w:tc>
        <w:tc>
          <w:tcPr>
            <w:tcW w:w="5120" w:type="dxa"/>
            <w:tcBorders>
              <w:top w:val="double" w:sz="6" w:space="0" w:color="auto"/>
              <w:left w:val="single" w:sz="6" w:space="0" w:color="auto"/>
              <w:bottom w:val="single" w:sz="6" w:space="0" w:color="auto"/>
              <w:right w:val="single" w:sz="6" w:space="0" w:color="auto"/>
            </w:tcBorders>
          </w:tcPr>
          <w:p w14:paraId="4CC5DEC1" w14:textId="77777777" w:rsidR="004F7BFA" w:rsidRPr="002419E5" w:rsidRDefault="004F7BFA">
            <w:pPr>
              <w:jc w:val="center"/>
            </w:pPr>
            <w:r w:rsidRPr="002419E5">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5DFF6FEC" w14:textId="77777777" w:rsidR="004F7BFA" w:rsidRPr="002419E5" w:rsidRDefault="004F7BFA">
            <w:pPr>
              <w:jc w:val="center"/>
            </w:pPr>
            <w:r w:rsidRPr="002419E5">
              <w:t>Отчетный период, за который (по результатам которого) выплачиваются (выплачивались) объявленные дивиденды - 2022г., полный год</w:t>
            </w:r>
          </w:p>
        </w:tc>
      </w:tr>
      <w:tr w:rsidR="004F7BFA" w:rsidRPr="002419E5" w14:paraId="471DEFF0" w14:textId="77777777">
        <w:tc>
          <w:tcPr>
            <w:tcW w:w="692" w:type="dxa"/>
            <w:tcBorders>
              <w:top w:val="single" w:sz="6" w:space="0" w:color="auto"/>
              <w:left w:val="double" w:sz="6" w:space="0" w:color="auto"/>
              <w:bottom w:val="single" w:sz="6" w:space="0" w:color="auto"/>
              <w:right w:val="single" w:sz="6" w:space="0" w:color="auto"/>
            </w:tcBorders>
          </w:tcPr>
          <w:p w14:paraId="59B35FA8" w14:textId="77777777" w:rsidR="004F7BFA" w:rsidRPr="002419E5" w:rsidRDefault="004F7BFA">
            <w:pPr>
              <w:jc w:val="center"/>
            </w:pPr>
            <w:r w:rsidRPr="002419E5">
              <w:t>1</w:t>
            </w:r>
          </w:p>
        </w:tc>
        <w:tc>
          <w:tcPr>
            <w:tcW w:w="5120" w:type="dxa"/>
            <w:tcBorders>
              <w:top w:val="single" w:sz="6" w:space="0" w:color="auto"/>
              <w:left w:val="single" w:sz="6" w:space="0" w:color="auto"/>
              <w:bottom w:val="single" w:sz="6" w:space="0" w:color="auto"/>
              <w:right w:val="single" w:sz="6" w:space="0" w:color="auto"/>
            </w:tcBorders>
          </w:tcPr>
          <w:p w14:paraId="5169921D" w14:textId="77777777" w:rsidR="004F7BFA" w:rsidRPr="002419E5" w:rsidRDefault="004F7BFA">
            <w:pPr>
              <w:jc w:val="center"/>
            </w:pPr>
            <w:r w:rsidRPr="002419E5">
              <w:t>2</w:t>
            </w:r>
          </w:p>
        </w:tc>
        <w:tc>
          <w:tcPr>
            <w:tcW w:w="3440" w:type="dxa"/>
            <w:tcBorders>
              <w:top w:val="single" w:sz="6" w:space="0" w:color="auto"/>
              <w:left w:val="single" w:sz="6" w:space="0" w:color="auto"/>
              <w:bottom w:val="single" w:sz="6" w:space="0" w:color="auto"/>
              <w:right w:val="double" w:sz="6" w:space="0" w:color="auto"/>
            </w:tcBorders>
          </w:tcPr>
          <w:p w14:paraId="5A173375" w14:textId="77777777" w:rsidR="004F7BFA" w:rsidRPr="002419E5" w:rsidRDefault="004F7BFA">
            <w:pPr>
              <w:jc w:val="center"/>
            </w:pPr>
            <w:r w:rsidRPr="002419E5">
              <w:t>3</w:t>
            </w:r>
          </w:p>
        </w:tc>
      </w:tr>
      <w:tr w:rsidR="004F7BFA" w:rsidRPr="002419E5" w14:paraId="2DD31C2A" w14:textId="77777777">
        <w:tc>
          <w:tcPr>
            <w:tcW w:w="692" w:type="dxa"/>
            <w:tcBorders>
              <w:top w:val="single" w:sz="6" w:space="0" w:color="auto"/>
              <w:left w:val="double" w:sz="6" w:space="0" w:color="auto"/>
              <w:bottom w:val="single" w:sz="6" w:space="0" w:color="auto"/>
              <w:right w:val="single" w:sz="6" w:space="0" w:color="auto"/>
            </w:tcBorders>
          </w:tcPr>
          <w:p w14:paraId="628A9B42" w14:textId="77777777" w:rsidR="004F7BFA" w:rsidRPr="002419E5" w:rsidRDefault="004F7BFA">
            <w:pPr>
              <w:jc w:val="center"/>
            </w:pPr>
            <w:r w:rsidRPr="002419E5">
              <w:t>1</w:t>
            </w:r>
          </w:p>
        </w:tc>
        <w:tc>
          <w:tcPr>
            <w:tcW w:w="8560" w:type="dxa"/>
            <w:gridSpan w:val="2"/>
            <w:tcBorders>
              <w:top w:val="single" w:sz="6" w:space="0" w:color="auto"/>
              <w:left w:val="single" w:sz="6" w:space="0" w:color="auto"/>
              <w:bottom w:val="single" w:sz="6" w:space="0" w:color="auto"/>
              <w:right w:val="double" w:sz="6" w:space="0" w:color="auto"/>
            </w:tcBorders>
          </w:tcPr>
          <w:p w14:paraId="7A732158" w14:textId="77777777" w:rsidR="004F7BFA" w:rsidRPr="002419E5" w:rsidRDefault="004F7BFA">
            <w:pPr>
              <w:jc w:val="center"/>
            </w:pPr>
            <w:r w:rsidRPr="002419E5">
              <w:t>Категория (тип) акций: привилегированные, тип А</w:t>
            </w:r>
          </w:p>
        </w:tc>
      </w:tr>
      <w:tr w:rsidR="004F7BFA" w:rsidRPr="002419E5" w14:paraId="00609B3F" w14:textId="77777777">
        <w:tc>
          <w:tcPr>
            <w:tcW w:w="9252" w:type="dxa"/>
            <w:gridSpan w:val="3"/>
            <w:tcBorders>
              <w:top w:val="single" w:sz="6" w:space="0" w:color="auto"/>
              <w:left w:val="double" w:sz="6" w:space="0" w:color="auto"/>
              <w:bottom w:val="double" w:sz="6" w:space="0" w:color="auto"/>
              <w:right w:val="double" w:sz="6" w:space="0" w:color="auto"/>
            </w:tcBorders>
          </w:tcPr>
          <w:p w14:paraId="16EC4004" w14:textId="77777777" w:rsidR="004F7BFA" w:rsidRPr="002419E5" w:rsidRDefault="004F7BFA">
            <w:pPr>
              <w:jc w:val="center"/>
            </w:pPr>
            <w:r w:rsidRPr="002419E5">
              <w:t>В течение указанного периода решений о выплате дивидендов эмитентом не принималось</w:t>
            </w:r>
          </w:p>
        </w:tc>
      </w:tr>
    </w:tbl>
    <w:p w14:paraId="15305F6F" w14:textId="77777777" w:rsidR="004F7BFA" w:rsidRPr="002419E5" w:rsidRDefault="004F7BFA"/>
    <w:p w14:paraId="7BC9EADB" w14:textId="77777777" w:rsidR="004F7BFA" w:rsidRPr="002419E5" w:rsidRDefault="004F7BFA">
      <w:pPr>
        <w:ind w:left="200"/>
      </w:pPr>
    </w:p>
    <w:p w14:paraId="0C43D159" w14:textId="77777777" w:rsidR="004F7BFA" w:rsidRPr="002419E5" w:rsidRDefault="004F7BFA">
      <w:pPr>
        <w:pStyle w:val="ThinDelim"/>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4F7BFA" w:rsidRPr="002419E5" w14:paraId="1AD79860" w14:textId="77777777">
        <w:tc>
          <w:tcPr>
            <w:tcW w:w="692" w:type="dxa"/>
            <w:tcBorders>
              <w:top w:val="double" w:sz="6" w:space="0" w:color="auto"/>
              <w:left w:val="double" w:sz="6" w:space="0" w:color="auto"/>
              <w:bottom w:val="single" w:sz="6" w:space="0" w:color="auto"/>
              <w:right w:val="single" w:sz="6" w:space="0" w:color="auto"/>
            </w:tcBorders>
          </w:tcPr>
          <w:p w14:paraId="20C2FDB4" w14:textId="77777777" w:rsidR="004F7BFA" w:rsidRPr="002419E5" w:rsidRDefault="004F7BFA">
            <w:pPr>
              <w:jc w:val="center"/>
            </w:pPr>
            <w:r w:rsidRPr="002419E5">
              <w:t>N п/п</w:t>
            </w:r>
          </w:p>
        </w:tc>
        <w:tc>
          <w:tcPr>
            <w:tcW w:w="5120" w:type="dxa"/>
            <w:tcBorders>
              <w:top w:val="double" w:sz="6" w:space="0" w:color="auto"/>
              <w:left w:val="single" w:sz="6" w:space="0" w:color="auto"/>
              <w:bottom w:val="single" w:sz="6" w:space="0" w:color="auto"/>
              <w:right w:val="single" w:sz="6" w:space="0" w:color="auto"/>
            </w:tcBorders>
          </w:tcPr>
          <w:p w14:paraId="738BA8F8" w14:textId="77777777" w:rsidR="004F7BFA" w:rsidRPr="002419E5" w:rsidRDefault="004F7BFA">
            <w:pPr>
              <w:jc w:val="center"/>
            </w:pPr>
            <w:r w:rsidRPr="002419E5">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4FDE3657" w14:textId="77777777" w:rsidR="004F7BFA" w:rsidRPr="002419E5" w:rsidRDefault="004F7BFA">
            <w:pPr>
              <w:jc w:val="center"/>
            </w:pPr>
            <w:r w:rsidRPr="002419E5">
              <w:t>Отчетный период, за который (по результатам которого) выплачиваются (выплачивались) объявленные дивиденды - 2023г., полный год</w:t>
            </w:r>
          </w:p>
        </w:tc>
      </w:tr>
      <w:tr w:rsidR="004F7BFA" w:rsidRPr="002419E5" w14:paraId="42DB49AE" w14:textId="77777777">
        <w:tc>
          <w:tcPr>
            <w:tcW w:w="692" w:type="dxa"/>
            <w:tcBorders>
              <w:top w:val="single" w:sz="6" w:space="0" w:color="auto"/>
              <w:left w:val="double" w:sz="6" w:space="0" w:color="auto"/>
              <w:bottom w:val="single" w:sz="6" w:space="0" w:color="auto"/>
              <w:right w:val="single" w:sz="6" w:space="0" w:color="auto"/>
            </w:tcBorders>
          </w:tcPr>
          <w:p w14:paraId="5BFD5C83" w14:textId="77777777" w:rsidR="004F7BFA" w:rsidRPr="002419E5" w:rsidRDefault="004F7BFA">
            <w:pPr>
              <w:jc w:val="center"/>
            </w:pPr>
            <w:r w:rsidRPr="002419E5">
              <w:t>1</w:t>
            </w:r>
          </w:p>
        </w:tc>
        <w:tc>
          <w:tcPr>
            <w:tcW w:w="5120" w:type="dxa"/>
            <w:tcBorders>
              <w:top w:val="single" w:sz="6" w:space="0" w:color="auto"/>
              <w:left w:val="single" w:sz="6" w:space="0" w:color="auto"/>
              <w:bottom w:val="single" w:sz="6" w:space="0" w:color="auto"/>
              <w:right w:val="single" w:sz="6" w:space="0" w:color="auto"/>
            </w:tcBorders>
          </w:tcPr>
          <w:p w14:paraId="21D2EBED" w14:textId="77777777" w:rsidR="004F7BFA" w:rsidRPr="002419E5" w:rsidRDefault="004F7BFA">
            <w:pPr>
              <w:jc w:val="center"/>
            </w:pPr>
            <w:r w:rsidRPr="002419E5">
              <w:t>2</w:t>
            </w:r>
          </w:p>
        </w:tc>
        <w:tc>
          <w:tcPr>
            <w:tcW w:w="3440" w:type="dxa"/>
            <w:tcBorders>
              <w:top w:val="single" w:sz="6" w:space="0" w:color="auto"/>
              <w:left w:val="single" w:sz="6" w:space="0" w:color="auto"/>
              <w:bottom w:val="single" w:sz="6" w:space="0" w:color="auto"/>
              <w:right w:val="double" w:sz="6" w:space="0" w:color="auto"/>
            </w:tcBorders>
          </w:tcPr>
          <w:p w14:paraId="33B1B0E0" w14:textId="77777777" w:rsidR="004F7BFA" w:rsidRPr="002419E5" w:rsidRDefault="004F7BFA">
            <w:pPr>
              <w:jc w:val="center"/>
            </w:pPr>
            <w:r w:rsidRPr="002419E5">
              <w:t>3</w:t>
            </w:r>
          </w:p>
        </w:tc>
      </w:tr>
      <w:tr w:rsidR="004F7BFA" w:rsidRPr="002419E5" w14:paraId="424CAC4D" w14:textId="77777777">
        <w:tc>
          <w:tcPr>
            <w:tcW w:w="692" w:type="dxa"/>
            <w:tcBorders>
              <w:top w:val="single" w:sz="6" w:space="0" w:color="auto"/>
              <w:left w:val="double" w:sz="6" w:space="0" w:color="auto"/>
              <w:bottom w:val="single" w:sz="6" w:space="0" w:color="auto"/>
              <w:right w:val="single" w:sz="6" w:space="0" w:color="auto"/>
            </w:tcBorders>
          </w:tcPr>
          <w:p w14:paraId="71A67CE9" w14:textId="77777777" w:rsidR="004F7BFA" w:rsidRPr="002419E5" w:rsidRDefault="004F7BFA">
            <w:pPr>
              <w:jc w:val="center"/>
            </w:pPr>
            <w:r w:rsidRPr="002419E5">
              <w:t>1</w:t>
            </w:r>
          </w:p>
        </w:tc>
        <w:tc>
          <w:tcPr>
            <w:tcW w:w="8560" w:type="dxa"/>
            <w:gridSpan w:val="2"/>
            <w:tcBorders>
              <w:top w:val="single" w:sz="6" w:space="0" w:color="auto"/>
              <w:left w:val="single" w:sz="6" w:space="0" w:color="auto"/>
              <w:bottom w:val="single" w:sz="6" w:space="0" w:color="auto"/>
              <w:right w:val="double" w:sz="6" w:space="0" w:color="auto"/>
            </w:tcBorders>
          </w:tcPr>
          <w:p w14:paraId="1B12FBA5" w14:textId="77777777" w:rsidR="004F7BFA" w:rsidRPr="002419E5" w:rsidRDefault="004F7BFA">
            <w:pPr>
              <w:jc w:val="center"/>
            </w:pPr>
            <w:r w:rsidRPr="002419E5">
              <w:t>Категория (тип) акций: обыкновенные</w:t>
            </w:r>
          </w:p>
        </w:tc>
      </w:tr>
      <w:tr w:rsidR="004F7BFA" w:rsidRPr="002419E5" w14:paraId="109B0CB6" w14:textId="77777777">
        <w:tc>
          <w:tcPr>
            <w:tcW w:w="9252" w:type="dxa"/>
            <w:gridSpan w:val="3"/>
            <w:tcBorders>
              <w:top w:val="single" w:sz="6" w:space="0" w:color="auto"/>
              <w:left w:val="double" w:sz="6" w:space="0" w:color="auto"/>
              <w:bottom w:val="double" w:sz="6" w:space="0" w:color="auto"/>
              <w:right w:val="double" w:sz="6" w:space="0" w:color="auto"/>
            </w:tcBorders>
          </w:tcPr>
          <w:p w14:paraId="127AEB21" w14:textId="77777777" w:rsidR="004F7BFA" w:rsidRPr="002419E5" w:rsidRDefault="004F7BFA">
            <w:pPr>
              <w:jc w:val="center"/>
            </w:pPr>
            <w:r w:rsidRPr="002419E5">
              <w:t>В течение указанного периода решений о выплате дивидендов эмитентом не принималось</w:t>
            </w:r>
          </w:p>
        </w:tc>
      </w:tr>
    </w:tbl>
    <w:p w14:paraId="27434CAE" w14:textId="77777777" w:rsidR="004F7BFA" w:rsidRPr="002419E5" w:rsidRDefault="004F7BFA"/>
    <w:p w14:paraId="5BE16947" w14:textId="77777777" w:rsidR="004F7BFA" w:rsidRPr="002419E5" w:rsidRDefault="004F7BFA">
      <w:pPr>
        <w:ind w:left="200"/>
      </w:pPr>
    </w:p>
    <w:p w14:paraId="7190C03A" w14:textId="77777777" w:rsidR="004F7BFA" w:rsidRPr="002419E5" w:rsidRDefault="004F7BFA">
      <w:pPr>
        <w:pStyle w:val="ThinDelim"/>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4F7BFA" w:rsidRPr="002419E5" w14:paraId="068AFB9A" w14:textId="77777777">
        <w:tc>
          <w:tcPr>
            <w:tcW w:w="692" w:type="dxa"/>
            <w:tcBorders>
              <w:top w:val="double" w:sz="6" w:space="0" w:color="auto"/>
              <w:left w:val="double" w:sz="6" w:space="0" w:color="auto"/>
              <w:bottom w:val="single" w:sz="6" w:space="0" w:color="auto"/>
              <w:right w:val="single" w:sz="6" w:space="0" w:color="auto"/>
            </w:tcBorders>
          </w:tcPr>
          <w:p w14:paraId="592B5F70" w14:textId="77777777" w:rsidR="004F7BFA" w:rsidRPr="002419E5" w:rsidRDefault="004F7BFA">
            <w:pPr>
              <w:jc w:val="center"/>
            </w:pPr>
            <w:r w:rsidRPr="002419E5">
              <w:lastRenderedPageBreak/>
              <w:t>N п/п</w:t>
            </w:r>
          </w:p>
        </w:tc>
        <w:tc>
          <w:tcPr>
            <w:tcW w:w="5120" w:type="dxa"/>
            <w:tcBorders>
              <w:top w:val="double" w:sz="6" w:space="0" w:color="auto"/>
              <w:left w:val="single" w:sz="6" w:space="0" w:color="auto"/>
              <w:bottom w:val="single" w:sz="6" w:space="0" w:color="auto"/>
              <w:right w:val="single" w:sz="6" w:space="0" w:color="auto"/>
            </w:tcBorders>
          </w:tcPr>
          <w:p w14:paraId="6FF93AF4" w14:textId="77777777" w:rsidR="004F7BFA" w:rsidRPr="002419E5" w:rsidRDefault="004F7BFA">
            <w:pPr>
              <w:jc w:val="center"/>
            </w:pPr>
            <w:r w:rsidRPr="002419E5">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475798BA" w14:textId="77777777" w:rsidR="004F7BFA" w:rsidRPr="002419E5" w:rsidRDefault="004F7BFA">
            <w:pPr>
              <w:jc w:val="center"/>
            </w:pPr>
            <w:r w:rsidRPr="002419E5">
              <w:t>Отчетный период, за который (по результатам которого) выплачиваются (выплачивались) объявленные дивиденды - 2023г., полный год</w:t>
            </w:r>
          </w:p>
        </w:tc>
      </w:tr>
      <w:tr w:rsidR="004F7BFA" w:rsidRPr="002419E5" w14:paraId="1DF70E9B" w14:textId="77777777">
        <w:tc>
          <w:tcPr>
            <w:tcW w:w="692" w:type="dxa"/>
            <w:tcBorders>
              <w:top w:val="single" w:sz="6" w:space="0" w:color="auto"/>
              <w:left w:val="double" w:sz="6" w:space="0" w:color="auto"/>
              <w:bottom w:val="single" w:sz="6" w:space="0" w:color="auto"/>
              <w:right w:val="single" w:sz="6" w:space="0" w:color="auto"/>
            </w:tcBorders>
          </w:tcPr>
          <w:p w14:paraId="1CE3093B" w14:textId="77777777" w:rsidR="004F7BFA" w:rsidRPr="002419E5" w:rsidRDefault="004F7BFA">
            <w:pPr>
              <w:jc w:val="center"/>
            </w:pPr>
            <w:r w:rsidRPr="002419E5">
              <w:t>1</w:t>
            </w:r>
          </w:p>
        </w:tc>
        <w:tc>
          <w:tcPr>
            <w:tcW w:w="5120" w:type="dxa"/>
            <w:tcBorders>
              <w:top w:val="single" w:sz="6" w:space="0" w:color="auto"/>
              <w:left w:val="single" w:sz="6" w:space="0" w:color="auto"/>
              <w:bottom w:val="single" w:sz="6" w:space="0" w:color="auto"/>
              <w:right w:val="single" w:sz="6" w:space="0" w:color="auto"/>
            </w:tcBorders>
          </w:tcPr>
          <w:p w14:paraId="4CE5DE72" w14:textId="77777777" w:rsidR="004F7BFA" w:rsidRPr="002419E5" w:rsidRDefault="004F7BFA">
            <w:pPr>
              <w:jc w:val="center"/>
            </w:pPr>
            <w:r w:rsidRPr="002419E5">
              <w:t>2</w:t>
            </w:r>
          </w:p>
        </w:tc>
        <w:tc>
          <w:tcPr>
            <w:tcW w:w="3440" w:type="dxa"/>
            <w:tcBorders>
              <w:top w:val="single" w:sz="6" w:space="0" w:color="auto"/>
              <w:left w:val="single" w:sz="6" w:space="0" w:color="auto"/>
              <w:bottom w:val="single" w:sz="6" w:space="0" w:color="auto"/>
              <w:right w:val="double" w:sz="6" w:space="0" w:color="auto"/>
            </w:tcBorders>
          </w:tcPr>
          <w:p w14:paraId="2993963B" w14:textId="77777777" w:rsidR="004F7BFA" w:rsidRPr="002419E5" w:rsidRDefault="004F7BFA">
            <w:pPr>
              <w:jc w:val="center"/>
            </w:pPr>
            <w:r w:rsidRPr="002419E5">
              <w:t>3</w:t>
            </w:r>
          </w:p>
        </w:tc>
      </w:tr>
      <w:tr w:rsidR="004F7BFA" w:rsidRPr="002419E5" w14:paraId="29A93F90" w14:textId="77777777">
        <w:tc>
          <w:tcPr>
            <w:tcW w:w="692" w:type="dxa"/>
            <w:tcBorders>
              <w:top w:val="single" w:sz="6" w:space="0" w:color="auto"/>
              <w:left w:val="double" w:sz="6" w:space="0" w:color="auto"/>
              <w:bottom w:val="single" w:sz="6" w:space="0" w:color="auto"/>
              <w:right w:val="single" w:sz="6" w:space="0" w:color="auto"/>
            </w:tcBorders>
          </w:tcPr>
          <w:p w14:paraId="29F81A7D" w14:textId="77777777" w:rsidR="004F7BFA" w:rsidRPr="002419E5" w:rsidRDefault="004F7BFA">
            <w:pPr>
              <w:jc w:val="center"/>
            </w:pPr>
            <w:r w:rsidRPr="002419E5">
              <w:t>1</w:t>
            </w:r>
          </w:p>
        </w:tc>
        <w:tc>
          <w:tcPr>
            <w:tcW w:w="8560" w:type="dxa"/>
            <w:gridSpan w:val="2"/>
            <w:tcBorders>
              <w:top w:val="single" w:sz="6" w:space="0" w:color="auto"/>
              <w:left w:val="single" w:sz="6" w:space="0" w:color="auto"/>
              <w:bottom w:val="single" w:sz="6" w:space="0" w:color="auto"/>
              <w:right w:val="double" w:sz="6" w:space="0" w:color="auto"/>
            </w:tcBorders>
          </w:tcPr>
          <w:p w14:paraId="2E1D0082" w14:textId="77777777" w:rsidR="004F7BFA" w:rsidRPr="002419E5" w:rsidRDefault="004F7BFA">
            <w:pPr>
              <w:jc w:val="center"/>
            </w:pPr>
            <w:r w:rsidRPr="002419E5">
              <w:t>Категория (тип) акций: привилегированные, тип А</w:t>
            </w:r>
          </w:p>
        </w:tc>
      </w:tr>
      <w:tr w:rsidR="004F7BFA" w:rsidRPr="002419E5" w14:paraId="3B542D9A" w14:textId="77777777">
        <w:tc>
          <w:tcPr>
            <w:tcW w:w="9252" w:type="dxa"/>
            <w:gridSpan w:val="3"/>
            <w:tcBorders>
              <w:top w:val="single" w:sz="6" w:space="0" w:color="auto"/>
              <w:left w:val="double" w:sz="6" w:space="0" w:color="auto"/>
              <w:bottom w:val="double" w:sz="6" w:space="0" w:color="auto"/>
              <w:right w:val="double" w:sz="6" w:space="0" w:color="auto"/>
            </w:tcBorders>
          </w:tcPr>
          <w:p w14:paraId="5CF843F6" w14:textId="77777777" w:rsidR="004F7BFA" w:rsidRPr="002419E5" w:rsidRDefault="004F7BFA">
            <w:pPr>
              <w:jc w:val="center"/>
            </w:pPr>
            <w:r w:rsidRPr="002419E5">
              <w:t>В течение указанного периода решений о выплате дивидендов эмитентом не принималось</w:t>
            </w:r>
          </w:p>
        </w:tc>
      </w:tr>
    </w:tbl>
    <w:p w14:paraId="276642BD" w14:textId="77777777" w:rsidR="004F7BFA" w:rsidRPr="002419E5" w:rsidRDefault="004F7BFA"/>
    <w:p w14:paraId="191B25AD" w14:textId="77777777" w:rsidR="004F7BFA" w:rsidRPr="002419E5" w:rsidRDefault="004F7BFA">
      <w:pPr>
        <w:ind w:left="200"/>
      </w:pPr>
    </w:p>
    <w:p w14:paraId="41812F98" w14:textId="77777777" w:rsidR="004F7BFA" w:rsidRPr="002419E5" w:rsidRDefault="004F7BFA">
      <w:pPr>
        <w:pStyle w:val="ThinDelim"/>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4F7BFA" w:rsidRPr="002419E5" w14:paraId="1A5FB989" w14:textId="77777777">
        <w:tc>
          <w:tcPr>
            <w:tcW w:w="692" w:type="dxa"/>
            <w:tcBorders>
              <w:top w:val="double" w:sz="6" w:space="0" w:color="auto"/>
              <w:left w:val="double" w:sz="6" w:space="0" w:color="auto"/>
              <w:bottom w:val="single" w:sz="6" w:space="0" w:color="auto"/>
              <w:right w:val="single" w:sz="6" w:space="0" w:color="auto"/>
            </w:tcBorders>
          </w:tcPr>
          <w:p w14:paraId="140BBA94" w14:textId="77777777" w:rsidR="004F7BFA" w:rsidRPr="002419E5" w:rsidRDefault="004F7BFA">
            <w:pPr>
              <w:jc w:val="center"/>
            </w:pPr>
            <w:r w:rsidRPr="002419E5">
              <w:t>N п/п</w:t>
            </w:r>
          </w:p>
        </w:tc>
        <w:tc>
          <w:tcPr>
            <w:tcW w:w="5120" w:type="dxa"/>
            <w:tcBorders>
              <w:top w:val="double" w:sz="6" w:space="0" w:color="auto"/>
              <w:left w:val="single" w:sz="6" w:space="0" w:color="auto"/>
              <w:bottom w:val="single" w:sz="6" w:space="0" w:color="auto"/>
              <w:right w:val="single" w:sz="6" w:space="0" w:color="auto"/>
            </w:tcBorders>
          </w:tcPr>
          <w:p w14:paraId="210189DF" w14:textId="77777777" w:rsidR="004F7BFA" w:rsidRPr="002419E5" w:rsidRDefault="004F7BFA">
            <w:pPr>
              <w:jc w:val="center"/>
            </w:pPr>
            <w:r w:rsidRPr="002419E5">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5312FC23" w14:textId="77777777" w:rsidR="004F7BFA" w:rsidRPr="002419E5" w:rsidRDefault="004F7BFA">
            <w:pPr>
              <w:jc w:val="center"/>
            </w:pPr>
            <w:r w:rsidRPr="002419E5">
              <w:t>Отчетный период, за который (по результатам которого) выплачиваются (выплачивались) объявленные дивиденды - 2024г., полный год</w:t>
            </w:r>
          </w:p>
        </w:tc>
      </w:tr>
      <w:tr w:rsidR="004F7BFA" w:rsidRPr="002419E5" w14:paraId="0C4A57F3" w14:textId="77777777">
        <w:tc>
          <w:tcPr>
            <w:tcW w:w="692" w:type="dxa"/>
            <w:tcBorders>
              <w:top w:val="single" w:sz="6" w:space="0" w:color="auto"/>
              <w:left w:val="double" w:sz="6" w:space="0" w:color="auto"/>
              <w:bottom w:val="single" w:sz="6" w:space="0" w:color="auto"/>
              <w:right w:val="single" w:sz="6" w:space="0" w:color="auto"/>
            </w:tcBorders>
          </w:tcPr>
          <w:p w14:paraId="655D890B" w14:textId="77777777" w:rsidR="004F7BFA" w:rsidRPr="002419E5" w:rsidRDefault="004F7BFA">
            <w:pPr>
              <w:jc w:val="center"/>
            </w:pPr>
            <w:r w:rsidRPr="002419E5">
              <w:t>1</w:t>
            </w:r>
          </w:p>
        </w:tc>
        <w:tc>
          <w:tcPr>
            <w:tcW w:w="5120" w:type="dxa"/>
            <w:tcBorders>
              <w:top w:val="single" w:sz="6" w:space="0" w:color="auto"/>
              <w:left w:val="single" w:sz="6" w:space="0" w:color="auto"/>
              <w:bottom w:val="single" w:sz="6" w:space="0" w:color="auto"/>
              <w:right w:val="single" w:sz="6" w:space="0" w:color="auto"/>
            </w:tcBorders>
          </w:tcPr>
          <w:p w14:paraId="505F67C0" w14:textId="77777777" w:rsidR="004F7BFA" w:rsidRPr="002419E5" w:rsidRDefault="004F7BFA">
            <w:pPr>
              <w:jc w:val="center"/>
            </w:pPr>
            <w:r w:rsidRPr="002419E5">
              <w:t>2</w:t>
            </w:r>
          </w:p>
        </w:tc>
        <w:tc>
          <w:tcPr>
            <w:tcW w:w="3440" w:type="dxa"/>
            <w:tcBorders>
              <w:top w:val="single" w:sz="6" w:space="0" w:color="auto"/>
              <w:left w:val="single" w:sz="6" w:space="0" w:color="auto"/>
              <w:bottom w:val="single" w:sz="6" w:space="0" w:color="auto"/>
              <w:right w:val="double" w:sz="6" w:space="0" w:color="auto"/>
            </w:tcBorders>
          </w:tcPr>
          <w:p w14:paraId="771C1B25" w14:textId="77777777" w:rsidR="004F7BFA" w:rsidRPr="002419E5" w:rsidRDefault="004F7BFA">
            <w:pPr>
              <w:jc w:val="center"/>
            </w:pPr>
            <w:r w:rsidRPr="002419E5">
              <w:t>3</w:t>
            </w:r>
          </w:p>
        </w:tc>
      </w:tr>
      <w:tr w:rsidR="004F7BFA" w:rsidRPr="002419E5" w14:paraId="13FC0B6B" w14:textId="77777777">
        <w:tc>
          <w:tcPr>
            <w:tcW w:w="692" w:type="dxa"/>
            <w:tcBorders>
              <w:top w:val="single" w:sz="6" w:space="0" w:color="auto"/>
              <w:left w:val="double" w:sz="6" w:space="0" w:color="auto"/>
              <w:bottom w:val="single" w:sz="6" w:space="0" w:color="auto"/>
              <w:right w:val="single" w:sz="6" w:space="0" w:color="auto"/>
            </w:tcBorders>
          </w:tcPr>
          <w:p w14:paraId="1B1CC259" w14:textId="77777777" w:rsidR="004F7BFA" w:rsidRPr="002419E5" w:rsidRDefault="004F7BFA">
            <w:pPr>
              <w:jc w:val="center"/>
            </w:pPr>
            <w:r w:rsidRPr="002419E5">
              <w:t>1</w:t>
            </w:r>
          </w:p>
        </w:tc>
        <w:tc>
          <w:tcPr>
            <w:tcW w:w="8560" w:type="dxa"/>
            <w:gridSpan w:val="2"/>
            <w:tcBorders>
              <w:top w:val="single" w:sz="6" w:space="0" w:color="auto"/>
              <w:left w:val="single" w:sz="6" w:space="0" w:color="auto"/>
              <w:bottom w:val="single" w:sz="6" w:space="0" w:color="auto"/>
              <w:right w:val="double" w:sz="6" w:space="0" w:color="auto"/>
            </w:tcBorders>
          </w:tcPr>
          <w:p w14:paraId="3958853B" w14:textId="77777777" w:rsidR="004F7BFA" w:rsidRPr="002419E5" w:rsidRDefault="004F7BFA">
            <w:pPr>
              <w:jc w:val="center"/>
            </w:pPr>
            <w:r w:rsidRPr="002419E5">
              <w:t>Категория (тип) акций: обыкновенные</w:t>
            </w:r>
          </w:p>
        </w:tc>
      </w:tr>
      <w:tr w:rsidR="004F7BFA" w:rsidRPr="002419E5" w14:paraId="32287A7F" w14:textId="77777777">
        <w:tc>
          <w:tcPr>
            <w:tcW w:w="9252" w:type="dxa"/>
            <w:gridSpan w:val="3"/>
            <w:tcBorders>
              <w:top w:val="single" w:sz="6" w:space="0" w:color="auto"/>
              <w:left w:val="double" w:sz="6" w:space="0" w:color="auto"/>
              <w:bottom w:val="double" w:sz="6" w:space="0" w:color="auto"/>
              <w:right w:val="double" w:sz="6" w:space="0" w:color="auto"/>
            </w:tcBorders>
          </w:tcPr>
          <w:p w14:paraId="474EB953" w14:textId="77777777" w:rsidR="004F7BFA" w:rsidRPr="002419E5" w:rsidRDefault="004F7BFA">
            <w:pPr>
              <w:jc w:val="center"/>
            </w:pPr>
            <w:r w:rsidRPr="002419E5">
              <w:t>В течение указанного периода решений о выплате дивидендов эмитентом не принималось</w:t>
            </w:r>
          </w:p>
        </w:tc>
      </w:tr>
    </w:tbl>
    <w:p w14:paraId="55F02FB4" w14:textId="77777777" w:rsidR="004F7BFA" w:rsidRPr="002419E5" w:rsidRDefault="004F7BFA"/>
    <w:p w14:paraId="7A62F6DC" w14:textId="77777777" w:rsidR="004F7BFA" w:rsidRPr="002419E5" w:rsidRDefault="004F7BFA">
      <w:pPr>
        <w:ind w:left="200"/>
      </w:pPr>
    </w:p>
    <w:p w14:paraId="41A55A65" w14:textId="77777777" w:rsidR="004F7BFA" w:rsidRPr="002419E5" w:rsidRDefault="004F7BFA">
      <w:pPr>
        <w:pStyle w:val="ThinDelim"/>
      </w:pPr>
    </w:p>
    <w:tbl>
      <w:tblPr>
        <w:tblW w:w="0" w:type="auto"/>
        <w:tblLayout w:type="fixed"/>
        <w:tblCellMar>
          <w:left w:w="72" w:type="dxa"/>
          <w:right w:w="72" w:type="dxa"/>
        </w:tblCellMar>
        <w:tblLook w:val="0000" w:firstRow="0" w:lastRow="0" w:firstColumn="0" w:lastColumn="0" w:noHBand="0" w:noVBand="0"/>
      </w:tblPr>
      <w:tblGrid>
        <w:gridCol w:w="692"/>
        <w:gridCol w:w="5120"/>
        <w:gridCol w:w="3440"/>
      </w:tblGrid>
      <w:tr w:rsidR="004F7BFA" w:rsidRPr="002419E5" w14:paraId="0BCC329A" w14:textId="77777777">
        <w:tc>
          <w:tcPr>
            <w:tcW w:w="692" w:type="dxa"/>
            <w:tcBorders>
              <w:top w:val="double" w:sz="6" w:space="0" w:color="auto"/>
              <w:left w:val="double" w:sz="6" w:space="0" w:color="auto"/>
              <w:bottom w:val="single" w:sz="6" w:space="0" w:color="auto"/>
              <w:right w:val="single" w:sz="6" w:space="0" w:color="auto"/>
            </w:tcBorders>
          </w:tcPr>
          <w:p w14:paraId="7F89B3EC" w14:textId="77777777" w:rsidR="004F7BFA" w:rsidRPr="002419E5" w:rsidRDefault="004F7BFA">
            <w:pPr>
              <w:jc w:val="center"/>
            </w:pPr>
            <w:r w:rsidRPr="002419E5">
              <w:t>N п/п</w:t>
            </w:r>
          </w:p>
        </w:tc>
        <w:tc>
          <w:tcPr>
            <w:tcW w:w="5120" w:type="dxa"/>
            <w:tcBorders>
              <w:top w:val="double" w:sz="6" w:space="0" w:color="auto"/>
              <w:left w:val="single" w:sz="6" w:space="0" w:color="auto"/>
              <w:bottom w:val="single" w:sz="6" w:space="0" w:color="auto"/>
              <w:right w:val="single" w:sz="6" w:space="0" w:color="auto"/>
            </w:tcBorders>
          </w:tcPr>
          <w:p w14:paraId="60C85FC4" w14:textId="77777777" w:rsidR="004F7BFA" w:rsidRPr="002419E5" w:rsidRDefault="004F7BFA">
            <w:pPr>
              <w:jc w:val="center"/>
            </w:pPr>
            <w:r w:rsidRPr="002419E5">
              <w:t>Наименование показателя</w:t>
            </w:r>
          </w:p>
        </w:tc>
        <w:tc>
          <w:tcPr>
            <w:tcW w:w="3440" w:type="dxa"/>
            <w:tcBorders>
              <w:top w:val="double" w:sz="6" w:space="0" w:color="auto"/>
              <w:left w:val="single" w:sz="6" w:space="0" w:color="auto"/>
              <w:bottom w:val="single" w:sz="6" w:space="0" w:color="auto"/>
              <w:right w:val="double" w:sz="6" w:space="0" w:color="auto"/>
            </w:tcBorders>
          </w:tcPr>
          <w:p w14:paraId="020EC5F0" w14:textId="77777777" w:rsidR="004F7BFA" w:rsidRPr="002419E5" w:rsidRDefault="004F7BFA">
            <w:pPr>
              <w:jc w:val="center"/>
            </w:pPr>
            <w:r w:rsidRPr="002419E5">
              <w:t>Отчетный период, за который (по результатам которого) выплачиваются (выплачивались) объявленные дивиденды - 2024г., полный год</w:t>
            </w:r>
          </w:p>
        </w:tc>
      </w:tr>
      <w:tr w:rsidR="004F7BFA" w:rsidRPr="002419E5" w14:paraId="36F52A05" w14:textId="77777777">
        <w:tc>
          <w:tcPr>
            <w:tcW w:w="692" w:type="dxa"/>
            <w:tcBorders>
              <w:top w:val="single" w:sz="6" w:space="0" w:color="auto"/>
              <w:left w:val="double" w:sz="6" w:space="0" w:color="auto"/>
              <w:bottom w:val="single" w:sz="6" w:space="0" w:color="auto"/>
              <w:right w:val="single" w:sz="6" w:space="0" w:color="auto"/>
            </w:tcBorders>
          </w:tcPr>
          <w:p w14:paraId="33BDEA15" w14:textId="77777777" w:rsidR="004F7BFA" w:rsidRPr="002419E5" w:rsidRDefault="004F7BFA">
            <w:pPr>
              <w:jc w:val="center"/>
            </w:pPr>
            <w:r w:rsidRPr="002419E5">
              <w:t>1</w:t>
            </w:r>
          </w:p>
        </w:tc>
        <w:tc>
          <w:tcPr>
            <w:tcW w:w="5120" w:type="dxa"/>
            <w:tcBorders>
              <w:top w:val="single" w:sz="6" w:space="0" w:color="auto"/>
              <w:left w:val="single" w:sz="6" w:space="0" w:color="auto"/>
              <w:bottom w:val="single" w:sz="6" w:space="0" w:color="auto"/>
              <w:right w:val="single" w:sz="6" w:space="0" w:color="auto"/>
            </w:tcBorders>
          </w:tcPr>
          <w:p w14:paraId="17C9F194" w14:textId="77777777" w:rsidR="004F7BFA" w:rsidRPr="002419E5" w:rsidRDefault="004F7BFA">
            <w:pPr>
              <w:jc w:val="center"/>
            </w:pPr>
            <w:r w:rsidRPr="002419E5">
              <w:t>2</w:t>
            </w:r>
          </w:p>
        </w:tc>
        <w:tc>
          <w:tcPr>
            <w:tcW w:w="3440" w:type="dxa"/>
            <w:tcBorders>
              <w:top w:val="single" w:sz="6" w:space="0" w:color="auto"/>
              <w:left w:val="single" w:sz="6" w:space="0" w:color="auto"/>
              <w:bottom w:val="single" w:sz="6" w:space="0" w:color="auto"/>
              <w:right w:val="double" w:sz="6" w:space="0" w:color="auto"/>
            </w:tcBorders>
          </w:tcPr>
          <w:p w14:paraId="394569B5" w14:textId="77777777" w:rsidR="004F7BFA" w:rsidRPr="002419E5" w:rsidRDefault="004F7BFA">
            <w:pPr>
              <w:jc w:val="center"/>
            </w:pPr>
            <w:r w:rsidRPr="002419E5">
              <w:t>3</w:t>
            </w:r>
          </w:p>
        </w:tc>
      </w:tr>
      <w:tr w:rsidR="004F7BFA" w:rsidRPr="002419E5" w14:paraId="3FF8269F" w14:textId="77777777">
        <w:tc>
          <w:tcPr>
            <w:tcW w:w="692" w:type="dxa"/>
            <w:tcBorders>
              <w:top w:val="single" w:sz="6" w:space="0" w:color="auto"/>
              <w:left w:val="double" w:sz="6" w:space="0" w:color="auto"/>
              <w:bottom w:val="single" w:sz="6" w:space="0" w:color="auto"/>
              <w:right w:val="single" w:sz="6" w:space="0" w:color="auto"/>
            </w:tcBorders>
          </w:tcPr>
          <w:p w14:paraId="7659DB21" w14:textId="77777777" w:rsidR="004F7BFA" w:rsidRPr="002419E5" w:rsidRDefault="004F7BFA">
            <w:pPr>
              <w:jc w:val="center"/>
            </w:pPr>
            <w:r w:rsidRPr="002419E5">
              <w:t>1</w:t>
            </w:r>
          </w:p>
        </w:tc>
        <w:tc>
          <w:tcPr>
            <w:tcW w:w="8560" w:type="dxa"/>
            <w:gridSpan w:val="2"/>
            <w:tcBorders>
              <w:top w:val="single" w:sz="6" w:space="0" w:color="auto"/>
              <w:left w:val="single" w:sz="6" w:space="0" w:color="auto"/>
              <w:bottom w:val="single" w:sz="6" w:space="0" w:color="auto"/>
              <w:right w:val="double" w:sz="6" w:space="0" w:color="auto"/>
            </w:tcBorders>
          </w:tcPr>
          <w:p w14:paraId="70386E9B" w14:textId="77777777" w:rsidR="004F7BFA" w:rsidRPr="002419E5" w:rsidRDefault="004F7BFA">
            <w:pPr>
              <w:jc w:val="center"/>
            </w:pPr>
            <w:r w:rsidRPr="002419E5">
              <w:t>Категория (тип) акций: привилегированные, тип А</w:t>
            </w:r>
          </w:p>
        </w:tc>
      </w:tr>
      <w:tr w:rsidR="004F7BFA" w:rsidRPr="002419E5" w14:paraId="2FF4A109" w14:textId="77777777">
        <w:tc>
          <w:tcPr>
            <w:tcW w:w="9252" w:type="dxa"/>
            <w:gridSpan w:val="3"/>
            <w:tcBorders>
              <w:top w:val="single" w:sz="6" w:space="0" w:color="auto"/>
              <w:left w:val="double" w:sz="6" w:space="0" w:color="auto"/>
              <w:bottom w:val="double" w:sz="6" w:space="0" w:color="auto"/>
              <w:right w:val="double" w:sz="6" w:space="0" w:color="auto"/>
            </w:tcBorders>
          </w:tcPr>
          <w:p w14:paraId="2DEE7469" w14:textId="77777777" w:rsidR="004F7BFA" w:rsidRPr="002419E5" w:rsidRDefault="004F7BFA">
            <w:pPr>
              <w:jc w:val="center"/>
            </w:pPr>
            <w:r w:rsidRPr="002419E5">
              <w:t>В течение указанного периода решений о выплате дивидендов эмитентом не принималось</w:t>
            </w:r>
          </w:p>
        </w:tc>
      </w:tr>
    </w:tbl>
    <w:p w14:paraId="56D29548" w14:textId="77777777" w:rsidR="004F7BFA" w:rsidRPr="002419E5" w:rsidRDefault="004F7BFA">
      <w:pPr>
        <w:ind w:left="200"/>
      </w:pPr>
    </w:p>
    <w:p w14:paraId="67B5E224" w14:textId="77777777" w:rsidR="004F7BFA" w:rsidRPr="002419E5" w:rsidRDefault="004F7BFA">
      <w:pPr>
        <w:ind w:left="200"/>
      </w:pPr>
      <w:r w:rsidRPr="002419E5">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14:paraId="47B16A00" w14:textId="77777777" w:rsidR="004F7BFA" w:rsidRPr="002419E5" w:rsidRDefault="004F7BFA">
      <w:pPr>
        <w:pStyle w:val="2"/>
      </w:pPr>
      <w:r w:rsidRPr="002419E5">
        <w:t>4.5. Сведения об организациях, осуществляющих учет прав на эмиссионные ценные бумаги эмитента</w:t>
      </w:r>
    </w:p>
    <w:p w14:paraId="7C3C638E" w14:textId="77777777" w:rsidR="004F7BFA" w:rsidRPr="002419E5" w:rsidRDefault="004F7BFA">
      <w:pPr>
        <w:pStyle w:val="2"/>
      </w:pPr>
      <w:r w:rsidRPr="002419E5">
        <w:t>4.5.1. Сведения о регистраторе, осуществляющем ведение реестра владельцев ценных бумаг эмитента</w:t>
      </w:r>
    </w:p>
    <w:p w14:paraId="33C42B75" w14:textId="77777777" w:rsidR="004F7BFA" w:rsidRPr="002419E5" w:rsidRDefault="004F7BFA">
      <w:pPr>
        <w:ind w:left="200"/>
      </w:pPr>
      <w:r w:rsidRPr="002419E5">
        <w:t>Информация о регистраторе, осуществляющем ведение реестра владельцев ценных бумаг эмитента, раскрыта в сети Интернет</w:t>
      </w:r>
    </w:p>
    <w:p w14:paraId="07C3FE80" w14:textId="77777777" w:rsidR="004F7BFA" w:rsidRPr="002419E5" w:rsidRDefault="004F7BFA">
      <w:pPr>
        <w:ind w:left="200"/>
      </w:pPr>
      <w:r w:rsidRPr="002419E5">
        <w:t>Адрес страницы в сети Интернет, на котором опубликована информация о регистраторе, осуществляющем ведение реестра владельцев ценных бумаг эмитента:</w:t>
      </w:r>
      <w:r w:rsidRPr="002419E5">
        <w:rPr>
          <w:rStyle w:val="Subst"/>
          <w:bCs/>
          <w:iCs/>
        </w:rPr>
        <w:t xml:space="preserve"> https://www.e-disclosure.ru/portal/company.aspx?id=4089</w:t>
      </w:r>
    </w:p>
    <w:p w14:paraId="0507238F" w14:textId="77777777" w:rsidR="004F7BFA" w:rsidRPr="002419E5" w:rsidRDefault="004F7BFA">
      <w:pPr>
        <w:pStyle w:val="2"/>
      </w:pPr>
      <w:r w:rsidRPr="002419E5">
        <w:t>4.5.2. Сведения о депозитарии, осуществляющем централизованный учет прав на ценные бумаги эмитента</w:t>
      </w:r>
    </w:p>
    <w:p w14:paraId="7DEBDB1E" w14:textId="77777777" w:rsidR="004F7BFA" w:rsidRPr="002419E5" w:rsidRDefault="004F7BFA">
      <w:pPr>
        <w:ind w:left="200"/>
      </w:pPr>
      <w:r w:rsidRPr="002419E5">
        <w:rPr>
          <w:rStyle w:val="Subst"/>
          <w:bCs/>
          <w:iCs/>
        </w:rPr>
        <w:t>В обращении нет ценных бумаг эмитента с централизованным учетом прав</w:t>
      </w:r>
    </w:p>
    <w:p w14:paraId="5C421A9D" w14:textId="77777777" w:rsidR="004F7BFA" w:rsidRPr="002419E5" w:rsidRDefault="004F7BFA">
      <w:pPr>
        <w:ind w:left="200"/>
      </w:pPr>
    </w:p>
    <w:p w14:paraId="6F03D7AB" w14:textId="77777777" w:rsidR="004F7BFA" w:rsidRPr="002419E5" w:rsidRDefault="004F7BFA">
      <w:pPr>
        <w:ind w:left="200"/>
      </w:pPr>
      <w:r w:rsidRPr="002419E5">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14:paraId="0175A4C6" w14:textId="77777777" w:rsidR="004F7BFA" w:rsidRPr="002419E5" w:rsidRDefault="004F7BFA">
      <w:pPr>
        <w:pStyle w:val="2"/>
      </w:pPr>
      <w:r w:rsidRPr="002419E5">
        <w:lastRenderedPageBreak/>
        <w:t>4.6. Информация об аудиторе эмитента</w:t>
      </w:r>
    </w:p>
    <w:p w14:paraId="193EF7E7" w14:textId="77777777" w:rsidR="004F7BFA" w:rsidRPr="002419E5" w:rsidRDefault="004F7BFA">
      <w:pPr>
        <w:ind w:left="200"/>
      </w:pPr>
      <w:r w:rsidRPr="002419E5">
        <w:t>Указывается 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p>
    <w:p w14:paraId="1FB926B2" w14:textId="77777777" w:rsidR="004F7BFA" w:rsidRPr="002419E5" w:rsidRDefault="004F7BFA">
      <w:pPr>
        <w:ind w:left="200"/>
      </w:pPr>
      <w:r w:rsidRPr="002419E5">
        <w:t>Полное фирменное наименование:</w:t>
      </w:r>
      <w:r w:rsidRPr="002419E5">
        <w:rPr>
          <w:rStyle w:val="Subst"/>
          <w:bCs/>
          <w:iCs/>
        </w:rPr>
        <w:t xml:space="preserve"> АКЦИОНЕРНОЕ ОБЩЕСТВО "ЕКАТЕРИНБУРГСКИЙ АУДИТ-ЦЕНТР"</w:t>
      </w:r>
    </w:p>
    <w:p w14:paraId="1D0E4E79" w14:textId="77777777" w:rsidR="004F7BFA" w:rsidRPr="002419E5" w:rsidRDefault="004F7BFA">
      <w:pPr>
        <w:ind w:left="200"/>
      </w:pPr>
      <w:r w:rsidRPr="002419E5">
        <w:t>Сокращенное фирменное наименование:</w:t>
      </w:r>
      <w:r w:rsidRPr="002419E5">
        <w:rPr>
          <w:rStyle w:val="Subst"/>
          <w:bCs/>
          <w:iCs/>
        </w:rPr>
        <w:t xml:space="preserve"> АО "ЕКАТЕРИНБУРГСКИЙ АУДИТ-ЦЕНТР"</w:t>
      </w:r>
    </w:p>
    <w:p w14:paraId="48E544F2" w14:textId="77777777" w:rsidR="004F7BFA" w:rsidRPr="002419E5" w:rsidRDefault="004F7BFA">
      <w:pPr>
        <w:ind w:left="200"/>
      </w:pPr>
      <w:r w:rsidRPr="002419E5">
        <w:t>Место нахождения:</w:t>
      </w:r>
      <w:r w:rsidRPr="002419E5">
        <w:rPr>
          <w:rStyle w:val="Subst"/>
          <w:bCs/>
          <w:iCs/>
        </w:rPr>
        <w:t xml:space="preserve"> 620062, СВЕРДЛОВСКАЯ ОБЛАСТЬ, Г. ЕКАТЕРИНБУРГ, ПР-КТ ЛЕНИНА, Д.60, ЛИТЕР А, ОФИС 53</w:t>
      </w:r>
    </w:p>
    <w:p w14:paraId="1E92D6F7" w14:textId="77777777" w:rsidR="004F7BFA" w:rsidRPr="002419E5" w:rsidRDefault="004F7BFA">
      <w:pPr>
        <w:ind w:left="200"/>
      </w:pPr>
      <w:r w:rsidRPr="002419E5">
        <w:t>ИНН:</w:t>
      </w:r>
      <w:r w:rsidRPr="002419E5">
        <w:rPr>
          <w:rStyle w:val="Subst"/>
          <w:bCs/>
          <w:iCs/>
        </w:rPr>
        <w:t xml:space="preserve"> 6662006975</w:t>
      </w:r>
    </w:p>
    <w:p w14:paraId="024D71D7" w14:textId="77777777" w:rsidR="004F7BFA" w:rsidRPr="002419E5" w:rsidRDefault="004F7BFA">
      <w:pPr>
        <w:ind w:left="200"/>
      </w:pPr>
      <w:r w:rsidRPr="002419E5">
        <w:t>ОГРН:</w:t>
      </w:r>
      <w:r w:rsidRPr="002419E5">
        <w:rPr>
          <w:rStyle w:val="Subst"/>
          <w:bCs/>
          <w:iCs/>
        </w:rPr>
        <w:t xml:space="preserve"> 1036604386367</w:t>
      </w:r>
    </w:p>
    <w:p w14:paraId="7014E9BE" w14:textId="77777777" w:rsidR="004F7BFA" w:rsidRPr="002419E5" w:rsidRDefault="004F7BFA">
      <w:pPr>
        <w:pStyle w:val="SubHeading"/>
        <w:ind w:left="200"/>
      </w:pPr>
      <w:r w:rsidRPr="002419E5">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p w14:paraId="6D581768" w14:textId="77777777" w:rsidR="004F7BFA" w:rsidRPr="002419E5" w:rsidRDefault="004F7BFA">
      <w:pPr>
        <w:pStyle w:val="ThinDelim"/>
      </w:pPr>
    </w:p>
    <w:tbl>
      <w:tblPr>
        <w:tblW w:w="0" w:type="auto"/>
        <w:tblLayout w:type="fixed"/>
        <w:tblCellMar>
          <w:left w:w="72" w:type="dxa"/>
          <w:right w:w="72" w:type="dxa"/>
        </w:tblCellMar>
        <w:tblLook w:val="0000" w:firstRow="0" w:lastRow="0" w:firstColumn="0" w:lastColumn="0" w:noHBand="0" w:noVBand="0"/>
      </w:tblPr>
      <w:tblGrid>
        <w:gridCol w:w="4652"/>
        <w:gridCol w:w="4600"/>
      </w:tblGrid>
      <w:tr w:rsidR="004F7BFA" w:rsidRPr="002419E5" w14:paraId="72EAE679" w14:textId="77777777">
        <w:tc>
          <w:tcPr>
            <w:tcW w:w="4652" w:type="dxa"/>
            <w:tcBorders>
              <w:top w:val="double" w:sz="6" w:space="0" w:color="auto"/>
              <w:left w:val="double" w:sz="6" w:space="0" w:color="auto"/>
              <w:bottom w:val="single" w:sz="6" w:space="0" w:color="auto"/>
              <w:right w:val="single" w:sz="6" w:space="0" w:color="auto"/>
            </w:tcBorders>
          </w:tcPr>
          <w:p w14:paraId="6786EB96" w14:textId="77777777" w:rsidR="004F7BFA" w:rsidRPr="002419E5" w:rsidRDefault="004F7BFA">
            <w:pPr>
              <w:jc w:val="center"/>
            </w:pPr>
            <w:r w:rsidRPr="002419E5">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4600" w:type="dxa"/>
            <w:tcBorders>
              <w:top w:val="double" w:sz="6" w:space="0" w:color="auto"/>
              <w:left w:val="single" w:sz="6" w:space="0" w:color="auto"/>
              <w:bottom w:val="single" w:sz="6" w:space="0" w:color="auto"/>
              <w:right w:val="double" w:sz="6" w:space="0" w:color="auto"/>
            </w:tcBorders>
          </w:tcPr>
          <w:p w14:paraId="3E08CE9B" w14:textId="77777777" w:rsidR="004F7BFA" w:rsidRPr="002419E5" w:rsidRDefault="004F7BFA">
            <w:pPr>
              <w:jc w:val="center"/>
            </w:pPr>
            <w:r w:rsidRPr="002419E5">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4F7BFA" w:rsidRPr="002419E5" w14:paraId="3F6B0447" w14:textId="77777777">
        <w:tc>
          <w:tcPr>
            <w:tcW w:w="4652" w:type="dxa"/>
            <w:tcBorders>
              <w:top w:val="single" w:sz="6" w:space="0" w:color="auto"/>
              <w:left w:val="double" w:sz="6" w:space="0" w:color="auto"/>
              <w:bottom w:val="double" w:sz="6" w:space="0" w:color="auto"/>
              <w:right w:val="single" w:sz="6" w:space="0" w:color="auto"/>
            </w:tcBorders>
          </w:tcPr>
          <w:p w14:paraId="3898ABD0" w14:textId="77777777" w:rsidR="004F7BFA" w:rsidRPr="002419E5" w:rsidRDefault="004F7BFA">
            <w:r w:rsidRPr="002419E5">
              <w:t>2024</w:t>
            </w:r>
          </w:p>
        </w:tc>
        <w:tc>
          <w:tcPr>
            <w:tcW w:w="4600" w:type="dxa"/>
            <w:tcBorders>
              <w:top w:val="single" w:sz="6" w:space="0" w:color="auto"/>
              <w:left w:val="single" w:sz="6" w:space="0" w:color="auto"/>
              <w:bottom w:val="double" w:sz="6" w:space="0" w:color="auto"/>
              <w:right w:val="double" w:sz="6" w:space="0" w:color="auto"/>
            </w:tcBorders>
          </w:tcPr>
          <w:p w14:paraId="54042E24" w14:textId="77777777" w:rsidR="004F7BFA" w:rsidRPr="002419E5" w:rsidRDefault="004F7BFA">
            <w:r w:rsidRPr="002419E5">
              <w:t>бухгалтерская отчетность, консолидированная финансовая отчетность</w:t>
            </w:r>
          </w:p>
        </w:tc>
      </w:tr>
    </w:tbl>
    <w:p w14:paraId="078FF289" w14:textId="77777777" w:rsidR="004F7BFA" w:rsidRPr="002419E5" w:rsidRDefault="004F7BFA"/>
    <w:p w14:paraId="385823F9" w14:textId="77777777" w:rsidR="004F7BFA" w:rsidRPr="002419E5" w:rsidRDefault="004F7BFA">
      <w:pPr>
        <w:ind w:left="200"/>
      </w:pPr>
      <w:r w:rsidRPr="002419E5">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rsidRPr="002419E5">
        <w:br/>
      </w:r>
      <w:r w:rsidRPr="002419E5">
        <w:rPr>
          <w:rStyle w:val="Subst"/>
          <w:bCs/>
          <w:iCs/>
        </w:rPr>
        <w:t>Сопутствующих аудиту и прочих связанных с аудиторской деятельностью услуг в течение последних трех завершенных отчетных лет и текущего года аудитором не оказывалось</w:t>
      </w:r>
    </w:p>
    <w:p w14:paraId="2868D5C2" w14:textId="77777777" w:rsidR="004F7BFA" w:rsidRPr="002419E5" w:rsidRDefault="004F7BFA">
      <w:pPr>
        <w:pStyle w:val="SubHeading"/>
        <w:ind w:left="200"/>
      </w:pPr>
      <w:r w:rsidRPr="002419E5">
        <w:t>Описываются 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14:paraId="58DD4632" w14:textId="77777777" w:rsidR="004F7BFA" w:rsidRPr="002419E5" w:rsidRDefault="004F7BFA">
      <w:pPr>
        <w:ind w:left="400"/>
      </w:pPr>
      <w:r w:rsidRPr="002419E5">
        <w:rPr>
          <w:rStyle w:val="Subst"/>
          <w:bCs/>
          <w:iCs/>
        </w:rPr>
        <w:t>Факторов,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нет</w:t>
      </w:r>
    </w:p>
    <w:p w14:paraId="3BDADA62" w14:textId="77777777" w:rsidR="004F7BFA" w:rsidRPr="002419E5" w:rsidRDefault="004F7BFA">
      <w:pPr>
        <w:ind w:left="400"/>
      </w:pPr>
      <w:r w:rsidRPr="002419E5">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r w:rsidRPr="002419E5">
        <w:br/>
      </w:r>
      <w:r w:rsidRPr="002419E5">
        <w:rPr>
          <w:rStyle w:val="Subst"/>
          <w:bCs/>
          <w:iCs/>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 не имеют</w:t>
      </w:r>
    </w:p>
    <w:p w14:paraId="55F8C2DC" w14:textId="77777777" w:rsidR="004F7BFA" w:rsidRPr="002419E5" w:rsidRDefault="004F7BFA">
      <w:pPr>
        <w:ind w:left="400"/>
      </w:pPr>
      <w:r w:rsidRPr="002419E5">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r w:rsidRPr="002419E5">
        <w:br/>
      </w:r>
      <w:r w:rsidRPr="002419E5">
        <w:rPr>
          <w:rStyle w:val="Subst"/>
          <w:bCs/>
          <w:iCs/>
        </w:rP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не осуществлялось</w:t>
      </w:r>
    </w:p>
    <w:p w14:paraId="435842EB" w14:textId="77777777" w:rsidR="004F7BFA" w:rsidRPr="002419E5" w:rsidRDefault="004F7BFA">
      <w:pPr>
        <w:ind w:left="400"/>
      </w:pPr>
      <w:r w:rsidRPr="002419E5">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rsidRPr="002419E5">
        <w:br/>
      </w:r>
      <w:r w:rsidRPr="002419E5">
        <w:rPr>
          <w:rStyle w:val="Subst"/>
          <w:bCs/>
          <w:iCs/>
        </w:rPr>
        <w:t>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нет</w:t>
      </w:r>
    </w:p>
    <w:p w14:paraId="2C0C18C6" w14:textId="77777777" w:rsidR="004F7BFA" w:rsidRPr="002419E5" w:rsidRDefault="004F7BFA">
      <w:pPr>
        <w:ind w:left="400"/>
      </w:pPr>
      <w:r w:rsidRPr="002419E5">
        <w:t xml:space="preserve">Сведения о лицах, занимающих должности в органах управления и (или) органах контроля за </w:t>
      </w:r>
      <w:r w:rsidRPr="002419E5">
        <w:lastRenderedPageBreak/>
        <w:t>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r w:rsidRPr="002419E5">
        <w:br/>
      </w:r>
      <w:r w:rsidRPr="002419E5">
        <w:rPr>
          <w:rStyle w:val="Subst"/>
          <w:bCs/>
          <w:iCs/>
        </w:rPr>
        <w:t>Лиц,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нет</w:t>
      </w:r>
    </w:p>
    <w:p w14:paraId="671F30E1" w14:textId="77777777" w:rsidR="004F7BFA" w:rsidRPr="002419E5" w:rsidRDefault="004F7BFA">
      <w:pPr>
        <w:ind w:left="400"/>
      </w:pPr>
      <w:r w:rsidRPr="002419E5">
        <w:t>Иные факторы, которые могут повлиять на независимость аудитора от эмитента:</w:t>
      </w:r>
      <w:r w:rsidRPr="002419E5">
        <w:br/>
      </w:r>
      <w:r w:rsidRPr="002419E5">
        <w:rPr>
          <w:rStyle w:val="Subst"/>
          <w:bCs/>
          <w:iCs/>
        </w:rPr>
        <w:t>Иных факторов, которые могут повлиять на независимость аудитора от эмитента, нет</w:t>
      </w:r>
    </w:p>
    <w:p w14:paraId="32A3167C" w14:textId="52E9D373" w:rsidR="004F7BFA" w:rsidRPr="002419E5" w:rsidRDefault="004F7BFA">
      <w:pPr>
        <w:ind w:left="200"/>
      </w:pPr>
      <w:r w:rsidRPr="002419E5">
        <w:t>Фактический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rsidRPr="002419E5">
        <w:br/>
      </w:r>
      <w:r w:rsidRPr="002419E5">
        <w:rPr>
          <w:rStyle w:val="Subst"/>
          <w:bCs/>
          <w:iCs/>
        </w:rPr>
        <w:t>Фактический размер вознаграждения, выплаченного аудитору за оказание услуг по проведению аудита отчетности за 2024 год, по состоянию на 31.12.2024 составляет 0 руб. Сопутствующие аудиту и прочие связанные с аудиторской деятельностью услуги не оказывались.</w:t>
      </w:r>
    </w:p>
    <w:p w14:paraId="35A2585B" w14:textId="77777777" w:rsidR="004F7BFA" w:rsidRPr="002419E5" w:rsidRDefault="004F7BFA">
      <w:pPr>
        <w:ind w:left="200"/>
      </w:pPr>
      <w:r w:rsidRPr="002419E5">
        <w:rPr>
          <w:rStyle w:val="Subst"/>
          <w:bCs/>
          <w:iCs/>
        </w:rPr>
        <w:t>Отсроченных и просроченных платежей за оказанные аудитором услуги нет</w:t>
      </w:r>
    </w:p>
    <w:p w14:paraId="30247593" w14:textId="77777777" w:rsidR="004F7BFA" w:rsidRPr="002419E5" w:rsidRDefault="004F7BFA">
      <w:pPr>
        <w:ind w:left="200"/>
      </w:pPr>
      <w:r w:rsidRPr="002419E5">
        <w:rPr>
          <w:rStyle w:val="Subst"/>
          <w:bCs/>
          <w:iCs/>
        </w:rPr>
        <w:t>Аудитор проводил проверку консолидированной финансовой отчетности эмитента</w:t>
      </w:r>
    </w:p>
    <w:p w14:paraId="01BF4C11" w14:textId="77777777" w:rsidR="004F7BFA" w:rsidRPr="002419E5" w:rsidRDefault="004F7BFA">
      <w:pPr>
        <w:ind w:left="200"/>
      </w:pPr>
    </w:p>
    <w:p w14:paraId="22D5DC7A" w14:textId="21F761EB" w:rsidR="004F7BFA" w:rsidRPr="002419E5" w:rsidRDefault="004F7BFA">
      <w:pPr>
        <w:ind w:left="200"/>
      </w:pPr>
      <w:r w:rsidRPr="002419E5">
        <w:t>Фактический размер вознаграждения, выплаченного эмитентом и подконтрольными эмитенту организациями, имеющими для него существенное значение, указанному аудитору за аудит (проверку), в том числе обязательный, консолидированной финансовой отчетности эмитента за последний завершенный отчетный год и за оказание сопутствующих аудиту и прочих связанных с аудиторской деятельностью услуг:</w:t>
      </w:r>
      <w:r w:rsidRPr="002419E5">
        <w:br/>
      </w:r>
      <w:r w:rsidRPr="002419E5">
        <w:rPr>
          <w:rStyle w:val="Subst"/>
          <w:bCs/>
          <w:iCs/>
        </w:rPr>
        <w:t>Фактический размер вознаграждения, выплаченного аудитору за оказание услуг по проведению аудита за 2024 год, по состоянию на 31.12.2024 составляет 544 050 руб. Сопутствующие аудиту и прочие связанные с аудиторской деятельностью услуги не оказывались.</w:t>
      </w:r>
    </w:p>
    <w:p w14:paraId="017805EC" w14:textId="77777777" w:rsidR="004F7BFA" w:rsidRPr="002419E5" w:rsidRDefault="004F7BFA">
      <w:pPr>
        <w:pStyle w:val="SubHeading"/>
        <w:ind w:left="200"/>
      </w:pPr>
      <w:r w:rsidRPr="002419E5">
        <w:t>Порядок выбора аудитора эмитента</w:t>
      </w:r>
    </w:p>
    <w:p w14:paraId="7487F1CB" w14:textId="77777777" w:rsidR="004F7BFA" w:rsidRPr="002419E5" w:rsidRDefault="004F7BFA">
      <w:pPr>
        <w:ind w:left="400"/>
      </w:pPr>
      <w:r w:rsidRPr="002419E5">
        <w:t>Процедура конкурса, связанного с выбором аудитора, и его основные условия:</w:t>
      </w:r>
      <w:r w:rsidRPr="002419E5">
        <w:br/>
      </w:r>
      <w:r w:rsidRPr="002419E5">
        <w:rPr>
          <w:rStyle w:val="Subst"/>
          <w:bCs/>
          <w:iCs/>
        </w:rPr>
        <w:t>Выбор аудитора осуществлялся по результатам проведения процедуры тендера. Организацию и проведение мероприятий по отбору аудиторских организаций для участия в тендере осуществляет конкурсная комиссия. По результатам проверки правильности оформления и полноты предложений, а также соответствия аудиторских организаций предъявленным требованиям, производится сравнительная оценка поступивших предложений. Закупочная комиссия осуществляет оценку как технических, так и финансовых предложений аудиторских организаций, по результатам которой аудиторская организация с наивысшей обобщённой оценкой становится победителем отбора.</w:t>
      </w:r>
    </w:p>
    <w:p w14:paraId="1E53E865" w14:textId="77777777" w:rsidR="004F7BFA" w:rsidRPr="002419E5" w:rsidRDefault="004F7BFA">
      <w:pPr>
        <w:ind w:left="400"/>
      </w:pPr>
    </w:p>
    <w:p w14:paraId="14071C12" w14:textId="77777777" w:rsidR="004F7BFA" w:rsidRPr="002419E5" w:rsidRDefault="004F7BFA" w:rsidP="007D1C16">
      <w:pPr>
        <w:ind w:left="400"/>
      </w:pPr>
      <w:r w:rsidRPr="002419E5">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r w:rsidRPr="002419E5">
        <w:br/>
      </w:r>
      <w:r w:rsidR="007D1C16" w:rsidRPr="002419E5">
        <w:rPr>
          <w:rStyle w:val="Subst"/>
        </w:rPr>
        <w:t xml:space="preserve">Кандидатура аудитора для проведения </w:t>
      </w:r>
      <w:r w:rsidR="007D1C16" w:rsidRPr="002419E5">
        <w:rPr>
          <w:b/>
          <w:bCs/>
          <w:i/>
          <w:iCs/>
        </w:rPr>
        <w:t xml:space="preserve">аудита годовой бухгалтерской (финансовой) отчетности Общества в соответствии с правовыми актами Российской Федерации </w:t>
      </w:r>
      <w:r w:rsidR="007D1C16" w:rsidRPr="002419E5">
        <w:rPr>
          <w:rStyle w:val="Subst"/>
          <w:bCs/>
          <w:iCs/>
        </w:rPr>
        <w:t>для утверждения на общем собрании акционеров выдвигается Советом директоров Общества в соответствии с требованиями действующего законодательства.</w:t>
      </w:r>
      <w:r w:rsidR="007D1C16" w:rsidRPr="002419E5">
        <w:rPr>
          <w:rStyle w:val="Subst"/>
          <w:bCs/>
          <w:iCs/>
        </w:rPr>
        <w:br/>
        <w:t>Кандидатура аудитора по проведению аудита консолидированной финансовой отчетности не подлежит утверждению собранием акционеров в соответствии с требованиями законодательства Российской Федерации.</w:t>
      </w:r>
    </w:p>
    <w:p w14:paraId="6FCCACE9" w14:textId="77777777" w:rsidR="004F7BFA" w:rsidRPr="002419E5" w:rsidRDefault="004F7BFA">
      <w:pPr>
        <w:ind w:left="200"/>
      </w:pPr>
    </w:p>
    <w:p w14:paraId="1A1266B3" w14:textId="77777777" w:rsidR="004F7BFA" w:rsidRPr="002419E5" w:rsidRDefault="004F7BFA">
      <w:pPr>
        <w:ind w:left="200"/>
      </w:pPr>
      <w:r w:rsidRPr="002419E5">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14:paraId="4EFAA4D6" w14:textId="77777777" w:rsidR="004F7BFA" w:rsidRPr="002419E5" w:rsidRDefault="004F7BFA">
      <w:pPr>
        <w:pStyle w:val="1"/>
      </w:pPr>
      <w:r w:rsidRPr="002419E5">
        <w:t>Раздел 5. Консолидированная финансовая отчетность (финансовая отчетность), бухгалтерская (финансовая) отчетность эмитента</w:t>
      </w:r>
    </w:p>
    <w:p w14:paraId="00928E59" w14:textId="77777777" w:rsidR="004F7BFA" w:rsidRPr="002419E5" w:rsidRDefault="004F7BFA">
      <w:pPr>
        <w:pStyle w:val="2"/>
      </w:pPr>
      <w:r w:rsidRPr="002419E5">
        <w:t>5.1. Консолидированная финансовая отчетность (финансовая отчетность) эмитента</w:t>
      </w:r>
    </w:p>
    <w:p w14:paraId="116B8F54" w14:textId="77777777" w:rsidR="004F7BFA" w:rsidRPr="002419E5" w:rsidRDefault="004F7BFA">
      <w:pPr>
        <w:ind w:left="200"/>
      </w:pPr>
    </w:p>
    <w:p w14:paraId="66663652" w14:textId="77777777" w:rsidR="00060FB2" w:rsidRPr="002419E5" w:rsidRDefault="004F7BFA">
      <w:pPr>
        <w:ind w:left="200"/>
        <w:rPr>
          <w:rStyle w:val="Subst"/>
          <w:bCs/>
          <w:iCs/>
        </w:rPr>
      </w:pPr>
      <w:proofErr w:type="spellStart"/>
      <w:r w:rsidRPr="002419E5">
        <w:t>Cсылка</w:t>
      </w:r>
      <w:proofErr w:type="spellEnd"/>
      <w:r w:rsidRPr="002419E5">
        <w:t xml:space="preserve"> на страницу в сети Интернет, на которой опубликована указанная отчетность:</w:t>
      </w:r>
      <w:r w:rsidRPr="002419E5">
        <w:rPr>
          <w:rStyle w:val="Subst"/>
          <w:bCs/>
          <w:iCs/>
        </w:rPr>
        <w:t xml:space="preserve"> </w:t>
      </w:r>
    </w:p>
    <w:p w14:paraId="7A3EE4F4" w14:textId="77777777" w:rsidR="00060FB2" w:rsidRPr="002419E5" w:rsidRDefault="00060FB2">
      <w:pPr>
        <w:ind w:left="200"/>
        <w:rPr>
          <w:rStyle w:val="Subst"/>
          <w:bCs/>
          <w:iCs/>
        </w:rPr>
      </w:pPr>
    </w:p>
    <w:p w14:paraId="59E26238" w14:textId="77777777" w:rsidR="00060FB2" w:rsidRPr="002419E5" w:rsidRDefault="00060FB2" w:rsidP="00060FB2">
      <w:pPr>
        <w:ind w:left="200"/>
        <w:rPr>
          <w:rStyle w:val="Subst"/>
          <w:bCs/>
          <w:iCs/>
        </w:rPr>
      </w:pPr>
      <w:r w:rsidRPr="002419E5">
        <w:rPr>
          <w:rStyle w:val="Subst"/>
        </w:rPr>
        <w:t>Консолидированная финансовая отчетность за 2024 год не раскрывалась эмитентом по основаниям, предусмотренным действующим законодательством.</w:t>
      </w:r>
      <w:r w:rsidRPr="002419E5">
        <w:rPr>
          <w:rStyle w:val="Subst"/>
        </w:rPr>
        <w:br/>
      </w:r>
      <w:r w:rsidRPr="002419E5">
        <w:rPr>
          <w:rStyle w:val="Subst"/>
        </w:rPr>
        <w:br/>
        <w:t>Ссылка на страницу в сети Интернет, на которой опубликована Обобщенная консолидированная финансовая отчетность за год, закончившийся 31 декабря 2024 г., c заключением независимого аудитора</w:t>
      </w:r>
      <w:r w:rsidR="00BF20DD" w:rsidRPr="002419E5">
        <w:rPr>
          <w:rStyle w:val="Subst"/>
        </w:rPr>
        <w:t>:</w:t>
      </w:r>
      <w:r w:rsidRPr="002419E5">
        <w:rPr>
          <w:rStyle w:val="Subst"/>
        </w:rPr>
        <w:t xml:space="preserve"> www.e-disclosure.ru/portal/files.aspx?id=4089&amp;type=4</w:t>
      </w:r>
    </w:p>
    <w:p w14:paraId="5CDEE8AA" w14:textId="77777777" w:rsidR="004F7BFA" w:rsidRPr="002419E5" w:rsidRDefault="004F7BFA">
      <w:pPr>
        <w:pStyle w:val="2"/>
      </w:pPr>
      <w:r w:rsidRPr="002419E5">
        <w:t>5.2. Бухгалтерская (финансовая) отчетность</w:t>
      </w:r>
    </w:p>
    <w:p w14:paraId="6E90B84B" w14:textId="77777777" w:rsidR="004F7BFA" w:rsidRDefault="004F7BFA">
      <w:pPr>
        <w:ind w:left="200"/>
      </w:pPr>
      <w:proofErr w:type="spellStart"/>
      <w:r w:rsidRPr="002419E5">
        <w:t>Cсылка</w:t>
      </w:r>
      <w:proofErr w:type="spellEnd"/>
      <w:r w:rsidRPr="002419E5">
        <w:t xml:space="preserve"> на страницу в сети Интернет, на которой опубликована указанная отчетность:</w:t>
      </w:r>
      <w:r w:rsidRPr="002419E5">
        <w:rPr>
          <w:rStyle w:val="Subst"/>
          <w:bCs/>
          <w:iCs/>
        </w:rPr>
        <w:t xml:space="preserve"> https://www.e-disclosure.ru/portal/files.aspx?id=4089&amp;type=3</w:t>
      </w:r>
    </w:p>
    <w:sectPr w:rsidR="004F7BFA">
      <w:footerReference w:type="default" r:id="rId6"/>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0D1E6" w14:textId="77777777" w:rsidR="002C1C83" w:rsidRDefault="002C1C83">
      <w:pPr>
        <w:spacing w:before="0" w:after="0"/>
      </w:pPr>
      <w:r>
        <w:separator/>
      </w:r>
    </w:p>
  </w:endnote>
  <w:endnote w:type="continuationSeparator" w:id="0">
    <w:p w14:paraId="573489D3" w14:textId="77777777" w:rsidR="002C1C83" w:rsidRDefault="002C1C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F241B" w14:textId="40CC1AF0" w:rsidR="004F7BFA" w:rsidRDefault="004F7BFA">
    <w:pPr>
      <w:framePr w:wrap="auto" w:hAnchor="text" w:xAlign="right"/>
      <w:spacing w:before="0" w:after="0"/>
    </w:pPr>
    <w:r>
      <w:fldChar w:fldCharType="begin"/>
    </w:r>
    <w:r>
      <w:instrText>PAGE</w:instrText>
    </w:r>
    <w:r>
      <w:fldChar w:fldCharType="separate"/>
    </w:r>
    <w:r w:rsidR="002419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511E7" w14:textId="77777777" w:rsidR="002C1C83" w:rsidRDefault="002C1C83">
      <w:pPr>
        <w:spacing w:before="0" w:after="0"/>
      </w:pPr>
      <w:r>
        <w:separator/>
      </w:r>
    </w:p>
  </w:footnote>
  <w:footnote w:type="continuationSeparator" w:id="0">
    <w:p w14:paraId="1BC901EC" w14:textId="77777777" w:rsidR="002C1C83" w:rsidRDefault="002C1C8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85E"/>
    <w:rsid w:val="000226B3"/>
    <w:rsid w:val="00060FB2"/>
    <w:rsid w:val="000A4A0F"/>
    <w:rsid w:val="000D56BA"/>
    <w:rsid w:val="001946E4"/>
    <w:rsid w:val="00197E16"/>
    <w:rsid w:val="002343CC"/>
    <w:rsid w:val="002419E5"/>
    <w:rsid w:val="0025143B"/>
    <w:rsid w:val="00251F37"/>
    <w:rsid w:val="002966EF"/>
    <w:rsid w:val="002B3B44"/>
    <w:rsid w:val="002C1C83"/>
    <w:rsid w:val="002C3F49"/>
    <w:rsid w:val="002C5FB1"/>
    <w:rsid w:val="002D208F"/>
    <w:rsid w:val="003026F6"/>
    <w:rsid w:val="003329F5"/>
    <w:rsid w:val="003C4604"/>
    <w:rsid w:val="003F1F72"/>
    <w:rsid w:val="00404E65"/>
    <w:rsid w:val="00413586"/>
    <w:rsid w:val="004479E9"/>
    <w:rsid w:val="00456C37"/>
    <w:rsid w:val="00484018"/>
    <w:rsid w:val="00491845"/>
    <w:rsid w:val="00495AC7"/>
    <w:rsid w:val="004B650D"/>
    <w:rsid w:val="004C18BD"/>
    <w:rsid w:val="004C3BA1"/>
    <w:rsid w:val="004F7BFA"/>
    <w:rsid w:val="0055065A"/>
    <w:rsid w:val="0058188B"/>
    <w:rsid w:val="00591D10"/>
    <w:rsid w:val="005F71C1"/>
    <w:rsid w:val="00630095"/>
    <w:rsid w:val="0064355A"/>
    <w:rsid w:val="006717BE"/>
    <w:rsid w:val="00672421"/>
    <w:rsid w:val="00683EF0"/>
    <w:rsid w:val="006B1113"/>
    <w:rsid w:val="006C1BFA"/>
    <w:rsid w:val="0073137C"/>
    <w:rsid w:val="00734B9E"/>
    <w:rsid w:val="007B16A1"/>
    <w:rsid w:val="007D1C16"/>
    <w:rsid w:val="007D398A"/>
    <w:rsid w:val="008239FC"/>
    <w:rsid w:val="0083435F"/>
    <w:rsid w:val="00877049"/>
    <w:rsid w:val="008F2C09"/>
    <w:rsid w:val="009321A4"/>
    <w:rsid w:val="00934D93"/>
    <w:rsid w:val="00966505"/>
    <w:rsid w:val="0097045B"/>
    <w:rsid w:val="00980EA0"/>
    <w:rsid w:val="00987572"/>
    <w:rsid w:val="00A11A73"/>
    <w:rsid w:val="00A2560C"/>
    <w:rsid w:val="00A260F7"/>
    <w:rsid w:val="00A362BE"/>
    <w:rsid w:val="00A802F9"/>
    <w:rsid w:val="00A804FF"/>
    <w:rsid w:val="00AA78EE"/>
    <w:rsid w:val="00B37914"/>
    <w:rsid w:val="00BC4552"/>
    <w:rsid w:val="00BE58DB"/>
    <w:rsid w:val="00BF20DD"/>
    <w:rsid w:val="00C21556"/>
    <w:rsid w:val="00C75430"/>
    <w:rsid w:val="00C807D9"/>
    <w:rsid w:val="00CC12F6"/>
    <w:rsid w:val="00CD6039"/>
    <w:rsid w:val="00CF370C"/>
    <w:rsid w:val="00D07937"/>
    <w:rsid w:val="00D15A2F"/>
    <w:rsid w:val="00D218BC"/>
    <w:rsid w:val="00D323FF"/>
    <w:rsid w:val="00D32D7A"/>
    <w:rsid w:val="00D40C22"/>
    <w:rsid w:val="00D64182"/>
    <w:rsid w:val="00DD06AE"/>
    <w:rsid w:val="00DE4390"/>
    <w:rsid w:val="00E24896"/>
    <w:rsid w:val="00E40680"/>
    <w:rsid w:val="00E4485E"/>
    <w:rsid w:val="00E64148"/>
    <w:rsid w:val="00E71472"/>
    <w:rsid w:val="00E7563E"/>
    <w:rsid w:val="00E93594"/>
    <w:rsid w:val="00EA0668"/>
    <w:rsid w:val="00EA4AC1"/>
    <w:rsid w:val="00EC5FC4"/>
    <w:rsid w:val="00F02ACC"/>
    <w:rsid w:val="00F63517"/>
    <w:rsid w:val="00FE4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98E47"/>
  <w14:defaultImageDpi w14:val="0"/>
  <w15:docId w15:val="{8927C3E9-5579-4AEB-9103-7B0A3897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Заголовок Знак"/>
    <w:basedOn w:val="a0"/>
    <w:link w:val="a3"/>
    <w:uiPriority w:val="10"/>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character" w:styleId="a5">
    <w:name w:val="annotation reference"/>
    <w:basedOn w:val="a0"/>
    <w:uiPriority w:val="99"/>
    <w:semiHidden/>
    <w:unhideWhenUsed/>
    <w:rsid w:val="00A11A73"/>
    <w:rPr>
      <w:rFonts w:cs="Times New Roman"/>
      <w:sz w:val="16"/>
      <w:szCs w:val="16"/>
    </w:rPr>
  </w:style>
  <w:style w:type="paragraph" w:styleId="a6">
    <w:name w:val="annotation text"/>
    <w:basedOn w:val="a"/>
    <w:link w:val="a7"/>
    <w:uiPriority w:val="99"/>
    <w:semiHidden/>
    <w:unhideWhenUsed/>
    <w:rsid w:val="00A11A73"/>
  </w:style>
  <w:style w:type="character" w:customStyle="1" w:styleId="a7">
    <w:name w:val="Текст примечания Знак"/>
    <w:basedOn w:val="a0"/>
    <w:link w:val="a6"/>
    <w:uiPriority w:val="99"/>
    <w:semiHidden/>
    <w:locked/>
    <w:rsid w:val="00A11A73"/>
    <w:rPr>
      <w:rFonts w:ascii="Times New Roman" w:hAnsi="Times New Roman" w:cs="Times New Roman"/>
      <w:sz w:val="20"/>
      <w:szCs w:val="20"/>
    </w:rPr>
  </w:style>
  <w:style w:type="paragraph" w:styleId="a8">
    <w:name w:val="annotation subject"/>
    <w:basedOn w:val="a6"/>
    <w:next w:val="a6"/>
    <w:link w:val="a9"/>
    <w:uiPriority w:val="99"/>
    <w:semiHidden/>
    <w:unhideWhenUsed/>
    <w:rsid w:val="00A11A73"/>
    <w:rPr>
      <w:b/>
      <w:bCs/>
    </w:rPr>
  </w:style>
  <w:style w:type="character" w:customStyle="1" w:styleId="a9">
    <w:name w:val="Тема примечания Знак"/>
    <w:basedOn w:val="a7"/>
    <w:link w:val="a8"/>
    <w:uiPriority w:val="99"/>
    <w:semiHidden/>
    <w:locked/>
    <w:rsid w:val="00A11A73"/>
    <w:rPr>
      <w:rFonts w:ascii="Times New Roman" w:hAnsi="Times New Roman" w:cs="Times New Roman"/>
      <w:b/>
      <w:bCs/>
      <w:sz w:val="20"/>
      <w:szCs w:val="20"/>
    </w:rPr>
  </w:style>
  <w:style w:type="paragraph" w:styleId="aa">
    <w:name w:val="Balloon Text"/>
    <w:basedOn w:val="a"/>
    <w:link w:val="ab"/>
    <w:uiPriority w:val="99"/>
    <w:semiHidden/>
    <w:unhideWhenUsed/>
    <w:rsid w:val="00A11A73"/>
    <w:pPr>
      <w:spacing w:before="0" w:after="0"/>
    </w:pPr>
    <w:rPr>
      <w:rFonts w:ascii="Segoe UI" w:hAnsi="Segoe UI" w:cs="Segoe UI"/>
      <w:sz w:val="18"/>
      <w:szCs w:val="18"/>
    </w:rPr>
  </w:style>
  <w:style w:type="character" w:customStyle="1" w:styleId="ab">
    <w:name w:val="Текст выноски Знак"/>
    <w:basedOn w:val="a0"/>
    <w:link w:val="aa"/>
    <w:uiPriority w:val="99"/>
    <w:semiHidden/>
    <w:locked/>
    <w:rsid w:val="00A11A73"/>
    <w:rPr>
      <w:rFonts w:ascii="Segoe UI" w:hAnsi="Segoe UI" w:cs="Segoe UI"/>
      <w:sz w:val="18"/>
      <w:szCs w:val="18"/>
    </w:rPr>
  </w:style>
  <w:style w:type="character" w:customStyle="1" w:styleId="ac">
    <w:name w:val="Без интервала Знак"/>
    <w:link w:val="ad"/>
    <w:uiPriority w:val="1"/>
    <w:locked/>
    <w:rsid w:val="00D218BC"/>
    <w:rPr>
      <w:rFonts w:ascii="Times New Roman" w:hAnsi="Times New Roman"/>
      <w:sz w:val="24"/>
    </w:rPr>
  </w:style>
  <w:style w:type="paragraph" w:styleId="ad">
    <w:name w:val="No Spacing"/>
    <w:link w:val="ac"/>
    <w:uiPriority w:val="1"/>
    <w:qFormat/>
    <w:rsid w:val="00D218BC"/>
    <w:pPr>
      <w:spacing w:after="0" w:line="240" w:lineRule="auto"/>
    </w:pPr>
    <w:rPr>
      <w:rFonts w:ascii="Times New Roman" w:hAnsi="Times New Roman"/>
      <w:sz w:val="24"/>
      <w:szCs w:val="24"/>
    </w:rPr>
  </w:style>
  <w:style w:type="table" w:customStyle="1" w:styleId="110">
    <w:name w:val="Сетка таблицы110"/>
    <w:basedOn w:val="a1"/>
    <w:uiPriority w:val="59"/>
    <w:rsid w:val="00D218B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97734">
      <w:marLeft w:val="0"/>
      <w:marRight w:val="0"/>
      <w:marTop w:val="0"/>
      <w:marBottom w:val="0"/>
      <w:divBdr>
        <w:top w:val="none" w:sz="0" w:space="0" w:color="auto"/>
        <w:left w:val="none" w:sz="0" w:space="0" w:color="auto"/>
        <w:bottom w:val="none" w:sz="0" w:space="0" w:color="auto"/>
        <w:right w:val="none" w:sz="0" w:space="0" w:color="auto"/>
      </w:divBdr>
    </w:div>
    <w:div w:id="106197735">
      <w:marLeft w:val="0"/>
      <w:marRight w:val="0"/>
      <w:marTop w:val="0"/>
      <w:marBottom w:val="0"/>
      <w:divBdr>
        <w:top w:val="none" w:sz="0" w:space="0" w:color="auto"/>
        <w:left w:val="none" w:sz="0" w:space="0" w:color="auto"/>
        <w:bottom w:val="none" w:sz="0" w:space="0" w:color="auto"/>
        <w:right w:val="none" w:sz="0" w:space="0" w:color="auto"/>
      </w:divBdr>
    </w:div>
    <w:div w:id="106197737">
      <w:marLeft w:val="0"/>
      <w:marRight w:val="0"/>
      <w:marTop w:val="0"/>
      <w:marBottom w:val="0"/>
      <w:divBdr>
        <w:top w:val="none" w:sz="0" w:space="0" w:color="auto"/>
        <w:left w:val="none" w:sz="0" w:space="0" w:color="auto"/>
        <w:bottom w:val="none" w:sz="0" w:space="0" w:color="auto"/>
        <w:right w:val="none" w:sz="0" w:space="0" w:color="auto"/>
      </w:divBdr>
    </w:div>
    <w:div w:id="106197738">
      <w:marLeft w:val="0"/>
      <w:marRight w:val="0"/>
      <w:marTop w:val="0"/>
      <w:marBottom w:val="0"/>
      <w:divBdr>
        <w:top w:val="none" w:sz="0" w:space="0" w:color="auto"/>
        <w:left w:val="none" w:sz="0" w:space="0" w:color="auto"/>
        <w:bottom w:val="none" w:sz="0" w:space="0" w:color="auto"/>
        <w:right w:val="none" w:sz="0" w:space="0" w:color="auto"/>
      </w:divBdr>
    </w:div>
    <w:div w:id="106197739">
      <w:marLeft w:val="0"/>
      <w:marRight w:val="0"/>
      <w:marTop w:val="0"/>
      <w:marBottom w:val="0"/>
      <w:divBdr>
        <w:top w:val="none" w:sz="0" w:space="0" w:color="auto"/>
        <w:left w:val="none" w:sz="0" w:space="0" w:color="auto"/>
        <w:bottom w:val="none" w:sz="0" w:space="0" w:color="auto"/>
        <w:right w:val="none" w:sz="0" w:space="0" w:color="auto"/>
      </w:divBdr>
    </w:div>
    <w:div w:id="106197740">
      <w:marLeft w:val="0"/>
      <w:marRight w:val="0"/>
      <w:marTop w:val="0"/>
      <w:marBottom w:val="0"/>
      <w:divBdr>
        <w:top w:val="none" w:sz="0" w:space="0" w:color="auto"/>
        <w:left w:val="none" w:sz="0" w:space="0" w:color="auto"/>
        <w:bottom w:val="none" w:sz="0" w:space="0" w:color="auto"/>
        <w:right w:val="none" w:sz="0" w:space="0" w:color="auto"/>
      </w:divBdr>
    </w:div>
    <w:div w:id="106197741">
      <w:marLeft w:val="0"/>
      <w:marRight w:val="0"/>
      <w:marTop w:val="0"/>
      <w:marBottom w:val="0"/>
      <w:divBdr>
        <w:top w:val="none" w:sz="0" w:space="0" w:color="auto"/>
        <w:left w:val="none" w:sz="0" w:space="0" w:color="auto"/>
        <w:bottom w:val="none" w:sz="0" w:space="0" w:color="auto"/>
        <w:right w:val="none" w:sz="0" w:space="0" w:color="auto"/>
      </w:divBdr>
    </w:div>
    <w:div w:id="106197742">
      <w:marLeft w:val="0"/>
      <w:marRight w:val="0"/>
      <w:marTop w:val="0"/>
      <w:marBottom w:val="0"/>
      <w:divBdr>
        <w:top w:val="none" w:sz="0" w:space="0" w:color="auto"/>
        <w:left w:val="none" w:sz="0" w:space="0" w:color="auto"/>
        <w:bottom w:val="none" w:sz="0" w:space="0" w:color="auto"/>
        <w:right w:val="none" w:sz="0" w:space="0" w:color="auto"/>
      </w:divBdr>
    </w:div>
    <w:div w:id="106197743">
      <w:marLeft w:val="0"/>
      <w:marRight w:val="0"/>
      <w:marTop w:val="0"/>
      <w:marBottom w:val="0"/>
      <w:divBdr>
        <w:top w:val="none" w:sz="0" w:space="0" w:color="auto"/>
        <w:left w:val="none" w:sz="0" w:space="0" w:color="auto"/>
        <w:bottom w:val="none" w:sz="0" w:space="0" w:color="auto"/>
        <w:right w:val="none" w:sz="0" w:space="0" w:color="auto"/>
      </w:divBdr>
    </w:div>
    <w:div w:id="106197744">
      <w:marLeft w:val="0"/>
      <w:marRight w:val="0"/>
      <w:marTop w:val="0"/>
      <w:marBottom w:val="0"/>
      <w:divBdr>
        <w:top w:val="none" w:sz="0" w:space="0" w:color="auto"/>
        <w:left w:val="none" w:sz="0" w:space="0" w:color="auto"/>
        <w:bottom w:val="none" w:sz="0" w:space="0" w:color="auto"/>
        <w:right w:val="none" w:sz="0" w:space="0" w:color="auto"/>
      </w:divBdr>
    </w:div>
    <w:div w:id="106197745">
      <w:marLeft w:val="0"/>
      <w:marRight w:val="0"/>
      <w:marTop w:val="0"/>
      <w:marBottom w:val="0"/>
      <w:divBdr>
        <w:top w:val="none" w:sz="0" w:space="0" w:color="auto"/>
        <w:left w:val="none" w:sz="0" w:space="0" w:color="auto"/>
        <w:bottom w:val="none" w:sz="0" w:space="0" w:color="auto"/>
        <w:right w:val="none" w:sz="0" w:space="0" w:color="auto"/>
      </w:divBdr>
    </w:div>
    <w:div w:id="106197746">
      <w:marLeft w:val="0"/>
      <w:marRight w:val="0"/>
      <w:marTop w:val="0"/>
      <w:marBottom w:val="0"/>
      <w:divBdr>
        <w:top w:val="none" w:sz="0" w:space="0" w:color="auto"/>
        <w:left w:val="none" w:sz="0" w:space="0" w:color="auto"/>
        <w:bottom w:val="none" w:sz="0" w:space="0" w:color="auto"/>
        <w:right w:val="none" w:sz="0" w:space="0" w:color="auto"/>
      </w:divBdr>
    </w:div>
    <w:div w:id="106197747">
      <w:marLeft w:val="0"/>
      <w:marRight w:val="0"/>
      <w:marTop w:val="0"/>
      <w:marBottom w:val="0"/>
      <w:divBdr>
        <w:top w:val="none" w:sz="0" w:space="0" w:color="auto"/>
        <w:left w:val="none" w:sz="0" w:space="0" w:color="auto"/>
        <w:bottom w:val="none" w:sz="0" w:space="0" w:color="auto"/>
        <w:right w:val="none" w:sz="0" w:space="0" w:color="auto"/>
      </w:divBdr>
    </w:div>
    <w:div w:id="106197748">
      <w:marLeft w:val="0"/>
      <w:marRight w:val="0"/>
      <w:marTop w:val="0"/>
      <w:marBottom w:val="0"/>
      <w:divBdr>
        <w:top w:val="none" w:sz="0" w:space="0" w:color="auto"/>
        <w:left w:val="none" w:sz="0" w:space="0" w:color="auto"/>
        <w:bottom w:val="none" w:sz="0" w:space="0" w:color="auto"/>
        <w:right w:val="none" w:sz="0" w:space="0" w:color="auto"/>
      </w:divBdr>
    </w:div>
    <w:div w:id="106197749">
      <w:marLeft w:val="0"/>
      <w:marRight w:val="0"/>
      <w:marTop w:val="0"/>
      <w:marBottom w:val="0"/>
      <w:divBdr>
        <w:top w:val="none" w:sz="0" w:space="0" w:color="auto"/>
        <w:left w:val="none" w:sz="0" w:space="0" w:color="auto"/>
        <w:bottom w:val="none" w:sz="0" w:space="0" w:color="auto"/>
        <w:right w:val="none" w:sz="0" w:space="0" w:color="auto"/>
      </w:divBdr>
    </w:div>
    <w:div w:id="106197750">
      <w:marLeft w:val="0"/>
      <w:marRight w:val="0"/>
      <w:marTop w:val="0"/>
      <w:marBottom w:val="0"/>
      <w:divBdr>
        <w:top w:val="none" w:sz="0" w:space="0" w:color="auto"/>
        <w:left w:val="none" w:sz="0" w:space="0" w:color="auto"/>
        <w:bottom w:val="none" w:sz="0" w:space="0" w:color="auto"/>
        <w:right w:val="none" w:sz="0" w:space="0" w:color="auto"/>
      </w:divBdr>
    </w:div>
    <w:div w:id="106197751">
      <w:marLeft w:val="0"/>
      <w:marRight w:val="0"/>
      <w:marTop w:val="0"/>
      <w:marBottom w:val="0"/>
      <w:divBdr>
        <w:top w:val="none" w:sz="0" w:space="0" w:color="auto"/>
        <w:left w:val="none" w:sz="0" w:space="0" w:color="auto"/>
        <w:bottom w:val="none" w:sz="0" w:space="0" w:color="auto"/>
        <w:right w:val="none" w:sz="0" w:space="0" w:color="auto"/>
      </w:divBdr>
    </w:div>
    <w:div w:id="106197752">
      <w:marLeft w:val="0"/>
      <w:marRight w:val="0"/>
      <w:marTop w:val="0"/>
      <w:marBottom w:val="0"/>
      <w:divBdr>
        <w:top w:val="none" w:sz="0" w:space="0" w:color="auto"/>
        <w:left w:val="none" w:sz="0" w:space="0" w:color="auto"/>
        <w:bottom w:val="none" w:sz="0" w:space="0" w:color="auto"/>
        <w:right w:val="none" w:sz="0" w:space="0" w:color="auto"/>
      </w:divBdr>
    </w:div>
    <w:div w:id="106197753">
      <w:marLeft w:val="0"/>
      <w:marRight w:val="0"/>
      <w:marTop w:val="0"/>
      <w:marBottom w:val="0"/>
      <w:divBdr>
        <w:top w:val="none" w:sz="0" w:space="0" w:color="auto"/>
        <w:left w:val="none" w:sz="0" w:space="0" w:color="auto"/>
        <w:bottom w:val="none" w:sz="0" w:space="0" w:color="auto"/>
        <w:right w:val="none" w:sz="0" w:space="0" w:color="auto"/>
      </w:divBdr>
    </w:div>
    <w:div w:id="106197754">
      <w:marLeft w:val="0"/>
      <w:marRight w:val="0"/>
      <w:marTop w:val="0"/>
      <w:marBottom w:val="0"/>
      <w:divBdr>
        <w:top w:val="none" w:sz="0" w:space="0" w:color="auto"/>
        <w:left w:val="none" w:sz="0" w:space="0" w:color="auto"/>
        <w:bottom w:val="none" w:sz="0" w:space="0" w:color="auto"/>
        <w:right w:val="none" w:sz="0" w:space="0" w:color="auto"/>
      </w:divBdr>
    </w:div>
    <w:div w:id="106197756">
      <w:marLeft w:val="0"/>
      <w:marRight w:val="0"/>
      <w:marTop w:val="0"/>
      <w:marBottom w:val="0"/>
      <w:divBdr>
        <w:top w:val="none" w:sz="0" w:space="0" w:color="auto"/>
        <w:left w:val="none" w:sz="0" w:space="0" w:color="auto"/>
        <w:bottom w:val="none" w:sz="0" w:space="0" w:color="auto"/>
        <w:right w:val="none" w:sz="0" w:space="0" w:color="auto"/>
      </w:divBdr>
    </w:div>
    <w:div w:id="106197757">
      <w:marLeft w:val="0"/>
      <w:marRight w:val="0"/>
      <w:marTop w:val="0"/>
      <w:marBottom w:val="0"/>
      <w:divBdr>
        <w:top w:val="none" w:sz="0" w:space="0" w:color="auto"/>
        <w:left w:val="none" w:sz="0" w:space="0" w:color="auto"/>
        <w:bottom w:val="none" w:sz="0" w:space="0" w:color="auto"/>
        <w:right w:val="none" w:sz="0" w:space="0" w:color="auto"/>
      </w:divBdr>
    </w:div>
    <w:div w:id="106197758">
      <w:marLeft w:val="0"/>
      <w:marRight w:val="0"/>
      <w:marTop w:val="0"/>
      <w:marBottom w:val="0"/>
      <w:divBdr>
        <w:top w:val="none" w:sz="0" w:space="0" w:color="auto"/>
        <w:left w:val="none" w:sz="0" w:space="0" w:color="auto"/>
        <w:bottom w:val="none" w:sz="0" w:space="0" w:color="auto"/>
        <w:right w:val="none" w:sz="0" w:space="0" w:color="auto"/>
      </w:divBdr>
    </w:div>
    <w:div w:id="106197759">
      <w:marLeft w:val="0"/>
      <w:marRight w:val="0"/>
      <w:marTop w:val="0"/>
      <w:marBottom w:val="0"/>
      <w:divBdr>
        <w:top w:val="none" w:sz="0" w:space="0" w:color="auto"/>
        <w:left w:val="none" w:sz="0" w:space="0" w:color="auto"/>
        <w:bottom w:val="none" w:sz="0" w:space="0" w:color="auto"/>
        <w:right w:val="none" w:sz="0" w:space="0" w:color="auto"/>
      </w:divBdr>
    </w:div>
    <w:div w:id="106197760">
      <w:marLeft w:val="0"/>
      <w:marRight w:val="0"/>
      <w:marTop w:val="0"/>
      <w:marBottom w:val="0"/>
      <w:divBdr>
        <w:top w:val="none" w:sz="0" w:space="0" w:color="auto"/>
        <w:left w:val="none" w:sz="0" w:space="0" w:color="auto"/>
        <w:bottom w:val="none" w:sz="0" w:space="0" w:color="auto"/>
        <w:right w:val="none" w:sz="0" w:space="0" w:color="auto"/>
      </w:divBdr>
    </w:div>
    <w:div w:id="106197761">
      <w:marLeft w:val="0"/>
      <w:marRight w:val="0"/>
      <w:marTop w:val="0"/>
      <w:marBottom w:val="0"/>
      <w:divBdr>
        <w:top w:val="none" w:sz="0" w:space="0" w:color="auto"/>
        <w:left w:val="none" w:sz="0" w:space="0" w:color="auto"/>
        <w:bottom w:val="none" w:sz="0" w:space="0" w:color="auto"/>
        <w:right w:val="none" w:sz="0" w:space="0" w:color="auto"/>
      </w:divBdr>
      <w:divsChild>
        <w:div w:id="106197736">
          <w:marLeft w:val="0"/>
          <w:marRight w:val="0"/>
          <w:marTop w:val="0"/>
          <w:marBottom w:val="0"/>
          <w:divBdr>
            <w:top w:val="none" w:sz="0" w:space="0" w:color="auto"/>
            <w:left w:val="none" w:sz="0" w:space="0" w:color="auto"/>
            <w:bottom w:val="none" w:sz="0" w:space="0" w:color="auto"/>
            <w:right w:val="none" w:sz="0" w:space="0" w:color="auto"/>
          </w:divBdr>
          <w:divsChild>
            <w:div w:id="1061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762">
      <w:marLeft w:val="0"/>
      <w:marRight w:val="0"/>
      <w:marTop w:val="0"/>
      <w:marBottom w:val="0"/>
      <w:divBdr>
        <w:top w:val="none" w:sz="0" w:space="0" w:color="auto"/>
        <w:left w:val="none" w:sz="0" w:space="0" w:color="auto"/>
        <w:bottom w:val="none" w:sz="0" w:space="0" w:color="auto"/>
        <w:right w:val="none" w:sz="0" w:space="0" w:color="auto"/>
      </w:divBdr>
    </w:div>
    <w:div w:id="111451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9471</Words>
  <Characters>53989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 Егор Сергеевич</dc:creator>
  <cp:keywords/>
  <dc:description/>
  <cp:lastModifiedBy>Анастасия</cp:lastModifiedBy>
  <cp:revision>2</cp:revision>
  <dcterms:created xsi:type="dcterms:W3CDTF">2025-05-13T09:54:00Z</dcterms:created>
  <dcterms:modified xsi:type="dcterms:W3CDTF">2025-05-13T09:54:00Z</dcterms:modified>
</cp:coreProperties>
</file>