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927A" w14:textId="4A788336" w:rsidR="003345E9" w:rsidRPr="00EB023D" w:rsidRDefault="003345E9" w:rsidP="00F437D4">
      <w:pPr>
        <w:spacing w:before="960"/>
        <w:jc w:val="center"/>
        <w:rPr>
          <w:b/>
          <w:bCs/>
          <w:sz w:val="32"/>
          <w:szCs w:val="32"/>
        </w:rPr>
      </w:pPr>
      <w:r w:rsidRPr="00EB023D">
        <w:rPr>
          <w:b/>
          <w:bCs/>
          <w:sz w:val="32"/>
          <w:szCs w:val="32"/>
        </w:rPr>
        <w:t>ОТЧЕТ ЭМИТЕНТА ЭМИССИОННЫХ ЦЕННЫХ БУМАГ</w:t>
      </w:r>
    </w:p>
    <w:p w14:paraId="66F0202B" w14:textId="77777777" w:rsidR="003345E9" w:rsidRPr="00EB023D" w:rsidRDefault="003345E9" w:rsidP="00F437D4">
      <w:pPr>
        <w:spacing w:before="600"/>
        <w:jc w:val="center"/>
        <w:rPr>
          <w:b/>
          <w:bCs/>
          <w:i/>
          <w:iCs/>
          <w:sz w:val="32"/>
          <w:szCs w:val="32"/>
        </w:rPr>
      </w:pPr>
      <w:r w:rsidRPr="00EB023D">
        <w:rPr>
          <w:b/>
          <w:bCs/>
          <w:i/>
          <w:iCs/>
          <w:sz w:val="32"/>
          <w:szCs w:val="32"/>
        </w:rPr>
        <w:t>Казанское публичное акционерное общество</w:t>
      </w:r>
      <w:r w:rsidR="008C43D6" w:rsidRPr="00EB023D">
        <w:rPr>
          <w:b/>
          <w:bCs/>
          <w:i/>
          <w:iCs/>
          <w:sz w:val="32"/>
          <w:szCs w:val="32"/>
        </w:rPr>
        <w:t xml:space="preserve"> «</w:t>
      </w:r>
      <w:r w:rsidR="00FC4789" w:rsidRPr="00EB023D">
        <w:rPr>
          <w:b/>
          <w:bCs/>
          <w:i/>
          <w:iCs/>
          <w:sz w:val="32"/>
          <w:szCs w:val="32"/>
        </w:rPr>
        <w:t>Органический синтез»</w:t>
      </w:r>
    </w:p>
    <w:p w14:paraId="250F0743" w14:textId="77777777" w:rsidR="003345E9" w:rsidRPr="00EB023D" w:rsidRDefault="003345E9" w:rsidP="00F437D4">
      <w:pPr>
        <w:spacing w:before="120"/>
        <w:jc w:val="center"/>
        <w:rPr>
          <w:b/>
          <w:bCs/>
          <w:i/>
          <w:iCs/>
          <w:sz w:val="28"/>
          <w:szCs w:val="28"/>
        </w:rPr>
      </w:pPr>
      <w:r w:rsidRPr="00EB023D">
        <w:rPr>
          <w:b/>
          <w:bCs/>
          <w:i/>
          <w:iCs/>
          <w:sz w:val="28"/>
          <w:szCs w:val="28"/>
        </w:rPr>
        <w:t>Код эмитента: 55245-D</w:t>
      </w:r>
    </w:p>
    <w:p w14:paraId="4C964F8F" w14:textId="59A00FA2" w:rsidR="003345E9" w:rsidRPr="00EB023D" w:rsidRDefault="007B2FE1" w:rsidP="00F437D4">
      <w:pPr>
        <w:spacing w:before="360"/>
        <w:jc w:val="center"/>
        <w:rPr>
          <w:b/>
          <w:bCs/>
          <w:sz w:val="32"/>
          <w:szCs w:val="32"/>
        </w:rPr>
      </w:pPr>
      <w:r w:rsidRPr="00EB023D">
        <w:rPr>
          <w:b/>
          <w:bCs/>
          <w:sz w:val="32"/>
          <w:szCs w:val="32"/>
        </w:rPr>
        <w:t>за 12</w:t>
      </w:r>
      <w:r w:rsidR="007611C3" w:rsidRPr="00EB023D">
        <w:rPr>
          <w:b/>
          <w:bCs/>
          <w:sz w:val="32"/>
          <w:szCs w:val="32"/>
        </w:rPr>
        <w:t xml:space="preserve"> месяцев 2023</w:t>
      </w:r>
      <w:r w:rsidR="003345E9" w:rsidRPr="00EB023D">
        <w:rPr>
          <w:b/>
          <w:bCs/>
          <w:sz w:val="32"/>
          <w:szCs w:val="32"/>
        </w:rPr>
        <w:t xml:space="preserve"> г.</w:t>
      </w:r>
    </w:p>
    <w:p w14:paraId="3D76FFF5" w14:textId="77777777" w:rsidR="003345E9" w:rsidRPr="00EB023D" w:rsidRDefault="003345E9" w:rsidP="00F437D4">
      <w:pPr>
        <w:spacing w:before="600" w:after="360"/>
        <w:jc w:val="center"/>
        <w:rPr>
          <w:b/>
          <w:bCs/>
          <w:sz w:val="24"/>
          <w:szCs w:val="24"/>
        </w:rPr>
      </w:pPr>
      <w:r w:rsidRPr="00EB023D">
        <w:rPr>
          <w:b/>
          <w:bCs/>
          <w:sz w:val="24"/>
          <w:szCs w:val="24"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14:paraId="19464022" w14:textId="77777777" w:rsidR="003345E9" w:rsidRPr="00EB023D" w:rsidRDefault="003345E9" w:rsidP="00554B3C">
      <w:pPr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3345E9" w:rsidRPr="00EB023D" w14:paraId="24F86013" w14:textId="77777777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1721EF" w14:textId="77777777" w:rsidR="003345E9" w:rsidRPr="00EB023D" w:rsidRDefault="003345E9" w:rsidP="00554B3C">
            <w:pPr>
              <w:jc w:val="both"/>
            </w:pPr>
            <w:r w:rsidRPr="00EB023D"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7D8F8A" w14:textId="77777777" w:rsidR="003345E9" w:rsidRPr="00EB023D" w:rsidRDefault="003345E9" w:rsidP="00554B3C">
            <w:pPr>
              <w:jc w:val="both"/>
              <w:rPr>
                <w:b/>
                <w:bCs/>
              </w:rPr>
            </w:pPr>
            <w:r w:rsidRPr="00EB023D">
              <w:rPr>
                <w:b/>
                <w:bCs/>
              </w:rPr>
              <w:t>420051, Республика Татарстан, г. Казань, ул. Беломорская, д. 101</w:t>
            </w:r>
          </w:p>
        </w:tc>
      </w:tr>
      <w:tr w:rsidR="003345E9" w:rsidRPr="00EB023D" w14:paraId="6144E31C" w14:textId="77777777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8A828E" w14:textId="77777777" w:rsidR="003345E9" w:rsidRPr="00EB023D" w:rsidRDefault="003345E9" w:rsidP="00554B3C">
            <w:pPr>
              <w:jc w:val="both"/>
            </w:pPr>
            <w:r w:rsidRPr="00EB023D"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BF70A1" w14:textId="71EDE035" w:rsidR="003345E9" w:rsidRPr="00EB023D" w:rsidRDefault="003345E9" w:rsidP="00554B3C">
            <w:pPr>
              <w:jc w:val="both"/>
            </w:pPr>
            <w:r w:rsidRPr="00EB023D">
              <w:rPr>
                <w:b/>
                <w:bCs/>
              </w:rPr>
              <w:t xml:space="preserve">Арсентьева Ляйсан Ринатовна, </w:t>
            </w:r>
            <w:r w:rsidR="007714A4" w:rsidRPr="00EB023D">
              <w:rPr>
                <w:b/>
                <w:bCs/>
              </w:rPr>
              <w:t>Главный эксперт Корпоративное управление. Корпоративный секретарь</w:t>
            </w:r>
          </w:p>
          <w:p w14:paraId="1650B1AC" w14:textId="53640EAF" w:rsidR="003345E9" w:rsidRPr="00EB023D" w:rsidRDefault="003345E9" w:rsidP="00554B3C">
            <w:pPr>
              <w:jc w:val="both"/>
            </w:pPr>
            <w:r w:rsidRPr="00EB023D">
              <w:t>Телефон:</w:t>
            </w:r>
            <w:r w:rsidRPr="00EB023D">
              <w:rPr>
                <w:b/>
                <w:bCs/>
              </w:rPr>
              <w:t xml:space="preserve"> </w:t>
            </w:r>
            <w:r w:rsidR="00E8483C" w:rsidRPr="00EB023D">
              <w:rPr>
                <w:b/>
                <w:bCs/>
              </w:rPr>
              <w:t>+74957775500,4896</w:t>
            </w:r>
          </w:p>
          <w:p w14:paraId="30BCDD84" w14:textId="77777777" w:rsidR="003345E9" w:rsidRPr="00EB023D" w:rsidRDefault="003345E9" w:rsidP="00554B3C">
            <w:pPr>
              <w:jc w:val="both"/>
              <w:rPr>
                <w:b/>
                <w:bCs/>
              </w:rPr>
            </w:pPr>
            <w:r w:rsidRPr="00EB023D">
              <w:t>Адрес электронной почты:</w:t>
            </w:r>
            <w:r w:rsidRPr="00EB023D">
              <w:rPr>
                <w:b/>
                <w:bCs/>
              </w:rPr>
              <w:t xml:space="preserve"> </w:t>
            </w:r>
            <w:hyperlink r:id="rId12" w:history="1">
              <w:r w:rsidR="00D95744" w:rsidRPr="00EB023D">
                <w:rPr>
                  <w:rStyle w:val="aa"/>
                  <w:b/>
                  <w:bCs/>
                  <w:color w:val="auto"/>
                </w:rPr>
                <w:t>arsentevalr@rt.sibur.ru</w:t>
              </w:r>
            </w:hyperlink>
            <w:r w:rsidR="00D95744" w:rsidRPr="00EB023D">
              <w:rPr>
                <w:b/>
                <w:bCs/>
              </w:rPr>
              <w:t xml:space="preserve"> </w:t>
            </w:r>
          </w:p>
        </w:tc>
        <w:tc>
          <w:tcPr>
            <w:tcW w:w="360" w:type="dxa"/>
          </w:tcPr>
          <w:p w14:paraId="588AD61C" w14:textId="77777777" w:rsidR="003345E9" w:rsidRPr="00EB023D" w:rsidRDefault="003345E9" w:rsidP="00554B3C">
            <w:pPr>
              <w:jc w:val="both"/>
            </w:pPr>
          </w:p>
        </w:tc>
      </w:tr>
    </w:tbl>
    <w:p w14:paraId="2AC99B70" w14:textId="77777777" w:rsidR="003345E9" w:rsidRPr="00EB023D" w:rsidRDefault="003345E9" w:rsidP="00554B3C">
      <w:pPr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3345E9" w:rsidRPr="00EB023D" w14:paraId="3D40BB97" w14:textId="77777777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5CF19B" w14:textId="77777777" w:rsidR="003345E9" w:rsidRPr="00EB023D" w:rsidRDefault="003345E9" w:rsidP="00554B3C">
            <w:pPr>
              <w:jc w:val="both"/>
            </w:pPr>
            <w:r w:rsidRPr="00EB023D"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D7995" w14:textId="6E75060F" w:rsidR="003345E9" w:rsidRPr="00EB023D" w:rsidRDefault="00971CBF" w:rsidP="00554B3C">
            <w:pPr>
              <w:jc w:val="both"/>
              <w:rPr>
                <w:b/>
                <w:bCs/>
              </w:rPr>
            </w:pPr>
            <w:hyperlink r:id="rId13" w:history="1">
              <w:r w:rsidR="00FB6F48" w:rsidRPr="00EB023D">
                <w:rPr>
                  <w:rStyle w:val="aa"/>
                  <w:b/>
                  <w:color w:val="auto"/>
                </w:rPr>
                <w:t>https://disclosure.skrin.ru/disclosure/1658008723</w:t>
              </w:r>
            </w:hyperlink>
            <w:r w:rsidR="00FB6F48" w:rsidRPr="00EB023D">
              <w:rPr>
                <w:b/>
              </w:rPr>
              <w:t xml:space="preserve"> </w:t>
            </w:r>
            <w:r w:rsidR="00D95744" w:rsidRPr="00EB023D">
              <w:rPr>
                <w:b/>
                <w:bCs/>
              </w:rPr>
              <w:t xml:space="preserve"> </w:t>
            </w:r>
            <w:r w:rsidR="003345E9" w:rsidRPr="00EB023D">
              <w:rPr>
                <w:b/>
                <w:bCs/>
              </w:rPr>
              <w:t xml:space="preserve"> </w:t>
            </w:r>
          </w:p>
          <w:p w14:paraId="6D1E44C2" w14:textId="77777777" w:rsidR="003345E9" w:rsidRPr="00EB023D" w:rsidRDefault="003345E9" w:rsidP="00554B3C">
            <w:pPr>
              <w:jc w:val="both"/>
              <w:rPr>
                <w:b/>
                <w:bCs/>
              </w:rPr>
            </w:pPr>
          </w:p>
        </w:tc>
      </w:tr>
    </w:tbl>
    <w:p w14:paraId="77696618" w14:textId="77777777" w:rsidR="003345E9" w:rsidRPr="00EB023D" w:rsidRDefault="003345E9" w:rsidP="00554B3C">
      <w:pPr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3345E9" w:rsidRPr="00EB023D" w14:paraId="2A24D762" w14:textId="77777777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EA98C" w14:textId="77777777" w:rsidR="003345E9" w:rsidRPr="00EB023D" w:rsidRDefault="003345E9" w:rsidP="00554B3C">
            <w:pPr>
              <w:spacing w:before="120"/>
              <w:jc w:val="both"/>
            </w:pPr>
          </w:p>
          <w:p w14:paraId="133B1908" w14:textId="77777777" w:rsidR="00A3400B" w:rsidRPr="00EB023D" w:rsidRDefault="00A3400B" w:rsidP="00A3400B">
            <w:pPr>
              <w:jc w:val="both"/>
            </w:pPr>
            <w:r w:rsidRPr="00EB023D">
              <w:t xml:space="preserve">Представитель по доверенности </w:t>
            </w:r>
          </w:p>
          <w:p w14:paraId="5D3C1215" w14:textId="101C8BD9" w:rsidR="00A3400B" w:rsidRPr="00EB023D" w:rsidRDefault="00A3400B" w:rsidP="00A3400B">
            <w:r w:rsidRPr="00EB023D">
              <w:t xml:space="preserve">(доверенность №125/КОС от 20.10.2022)   </w:t>
            </w:r>
            <w:r w:rsidR="004C7111">
              <w:t>________________</w:t>
            </w:r>
            <w:r w:rsidRPr="00EB023D">
              <w:t xml:space="preserve">             </w:t>
            </w:r>
          </w:p>
          <w:p w14:paraId="648EA916" w14:textId="77777777" w:rsidR="003345E9" w:rsidRPr="00EB023D" w:rsidRDefault="003345E9" w:rsidP="00554B3C">
            <w:pPr>
              <w:jc w:val="both"/>
            </w:pPr>
          </w:p>
          <w:p w14:paraId="4FF99BB0" w14:textId="2CFE2AAB" w:rsidR="003345E9" w:rsidRPr="00EB023D" w:rsidRDefault="003345E9" w:rsidP="007B2FE1">
            <w:pPr>
              <w:jc w:val="both"/>
            </w:pPr>
            <w:r w:rsidRPr="00EB023D">
              <w:t xml:space="preserve">Дата: </w:t>
            </w:r>
            <w:r w:rsidR="00022B6C" w:rsidRPr="00EB023D">
              <w:t>19</w:t>
            </w:r>
            <w:r w:rsidR="00A3400B" w:rsidRPr="00EB023D">
              <w:t xml:space="preserve"> </w:t>
            </w:r>
            <w:r w:rsidR="007B2FE1" w:rsidRPr="00EB023D">
              <w:t>апреля 2024</w:t>
            </w:r>
            <w:r w:rsidR="00A3400B" w:rsidRPr="00EB023D">
              <w:t xml:space="preserve">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D6A1F4" w14:textId="09592F30" w:rsidR="003345E9" w:rsidRPr="00EB023D" w:rsidRDefault="003345E9" w:rsidP="00554B3C">
            <w:pPr>
              <w:jc w:val="both"/>
            </w:pPr>
          </w:p>
          <w:p w14:paraId="060FE084" w14:textId="75CB8DA7" w:rsidR="003345E9" w:rsidRPr="00EB023D" w:rsidRDefault="003345E9" w:rsidP="00276D3D">
            <w:pPr>
              <w:spacing w:before="200" w:after="200"/>
              <w:jc w:val="both"/>
            </w:pPr>
            <w:r w:rsidRPr="00EB023D">
              <w:br/>
            </w:r>
            <w:r w:rsidR="004C7111">
              <w:t>Л.Р. Арсентьева</w:t>
            </w:r>
            <w:r w:rsidR="00276D3D" w:rsidRPr="00EB023D">
              <w:t xml:space="preserve">              </w:t>
            </w:r>
            <w:r w:rsidRPr="00EB023D">
              <w:br/>
              <w:t xml:space="preserve">    </w:t>
            </w:r>
          </w:p>
        </w:tc>
      </w:tr>
    </w:tbl>
    <w:p w14:paraId="6267A39D" w14:textId="77777777" w:rsidR="003345E9" w:rsidRPr="00EB023D" w:rsidRDefault="003345E9" w:rsidP="00554B3C">
      <w:pPr>
        <w:jc w:val="both"/>
      </w:pPr>
    </w:p>
    <w:p w14:paraId="3CFCB625" w14:textId="77777777" w:rsidR="003345E9" w:rsidRPr="00EB023D" w:rsidRDefault="003345E9" w:rsidP="00554B3C">
      <w:pPr>
        <w:jc w:val="both"/>
      </w:pPr>
    </w:p>
    <w:p w14:paraId="45E489CD" w14:textId="77777777" w:rsidR="003345E9" w:rsidRPr="00EB023D" w:rsidRDefault="003345E9" w:rsidP="00F437D4">
      <w:pPr>
        <w:pStyle w:val="1"/>
      </w:pPr>
      <w:r w:rsidRPr="00EB023D">
        <w:br w:type="page"/>
      </w:r>
      <w:bookmarkStart w:id="0" w:name="_Toc164444082"/>
      <w:r w:rsidRPr="00EB023D">
        <w:lastRenderedPageBreak/>
        <w:t>Оглавление</w:t>
      </w:r>
      <w:bookmarkEnd w:id="0"/>
    </w:p>
    <w:p w14:paraId="25808421" w14:textId="68024DE7" w:rsidR="00E42134" w:rsidRDefault="003345E9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EB023D">
        <w:fldChar w:fldCharType="begin"/>
      </w:r>
      <w:r w:rsidRPr="00EB023D">
        <w:instrText>TOC</w:instrText>
      </w:r>
      <w:r w:rsidRPr="00EB023D">
        <w:fldChar w:fldCharType="separate"/>
      </w:r>
      <w:r w:rsidR="00E42134">
        <w:rPr>
          <w:noProof/>
        </w:rPr>
        <w:t>Оглавление</w:t>
      </w:r>
      <w:r w:rsidR="00E42134">
        <w:rPr>
          <w:noProof/>
        </w:rPr>
        <w:tab/>
      </w:r>
      <w:r w:rsidR="00E42134">
        <w:rPr>
          <w:noProof/>
        </w:rPr>
        <w:fldChar w:fldCharType="begin"/>
      </w:r>
      <w:r w:rsidR="00E42134">
        <w:rPr>
          <w:noProof/>
        </w:rPr>
        <w:instrText xml:space="preserve"> PAGEREF _Toc164444082 \h </w:instrText>
      </w:r>
      <w:r w:rsidR="00E42134">
        <w:rPr>
          <w:noProof/>
        </w:rPr>
      </w:r>
      <w:r w:rsidR="00E42134">
        <w:rPr>
          <w:noProof/>
        </w:rPr>
        <w:fldChar w:fldCharType="separate"/>
      </w:r>
      <w:r w:rsidR="00E42134">
        <w:rPr>
          <w:noProof/>
        </w:rPr>
        <w:t>2</w:t>
      </w:r>
      <w:r w:rsidR="00E42134">
        <w:rPr>
          <w:noProof/>
        </w:rPr>
        <w:fldChar w:fldCharType="end"/>
      </w:r>
    </w:p>
    <w:p w14:paraId="4E59BE1A" w14:textId="3BD78F27" w:rsidR="00E42134" w:rsidRDefault="00E42134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3DEDCA9" w14:textId="3DCEF02B" w:rsidR="00E42134" w:rsidRDefault="00E42134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1. Управленческий отчет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C42AD7" w14:textId="1E1A7B14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1.1. Общие сведения об эмитенте и его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BAC6614" w14:textId="7F2F0EE3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1.2. Сведения о положении эмитента в отрасли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FD4DD5D" w14:textId="5AAAC2EA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1.3. Основные операционные показатели, характеризующие деятельность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43D194C" w14:textId="39D7E242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 Основные финансовые показатели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7002A4A" w14:textId="071C21ED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1.4.1. Финансовые показатели, рассчитываемые на основе консолидированной финансовой отчетности (финансовой отчетности)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C631CC5" w14:textId="0EC92F06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1.4.2. Финансовые показатели, рассчитываемые на основе бухгалтерской (финансовой) отчетности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1537AC6" w14:textId="04F69A54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1.4.3. Финансовые показатели кредитной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A99C32B" w14:textId="4D4023FE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1.4.4. Иные финансовые показатели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7E0F5CE" w14:textId="0EC02A09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1.4.5. Анализ динамики изменения финансовых показателей, приведенных в подпунктах 1.4.1 - 1.4.4 настоящего пункта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C42A79E" w14:textId="64E294BD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1.5. Сведения об основных поставщиках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42532B1" w14:textId="694D48DE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1.6. Сведения об основных дебиторах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2165F0E" w14:textId="3F6DFEB3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 Сведения об обязательствах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F49831C" w14:textId="5F9EBCF3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1.7.1. Сведения об основных кредиторах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237C016" w14:textId="2A7D752B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1.7.2. Сведения об обязательствах эмитента из предоставленного обеспечения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FD0C995" w14:textId="3EC75424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1.7.3. Сведения о прочих существенных обязательствах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7D23ECF" w14:textId="3B702C8B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1.8. Сведения о перспективах развития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7C05154" w14:textId="52BCC991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 Сведения о рисках, связанных с деятельностью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7FD0452" w14:textId="26243A56" w:rsidR="00E42134" w:rsidRDefault="00E42134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09B7A8F" w14:textId="30976C60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2.1. Информация о лицах, входящих в состав органов управления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7B97F56" w14:textId="5771FD94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256F9B6" w14:textId="48755EFD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DB66B12" w14:textId="4C99B9EA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A3674F9" w14:textId="285CB0AF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632405C" w14:textId="01B5933E" w:rsidR="00E42134" w:rsidRDefault="00E42134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0DBE356" w14:textId="1A8D0A87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3.1. Сведения об общем количестве акционеров (участников, членов)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EAD32E1" w14:textId="41D7E4C7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585DD60" w14:textId="4B28FCDF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B8A5442" w14:textId="2678B5DB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3.4. Сделки эмитента, в совершении которых имелась заинтересованность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4CF6483" w14:textId="58F61FCB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3.5. Крупные сделки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34FA4DF" w14:textId="290F3F58" w:rsidR="00E42134" w:rsidRDefault="00E42134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4. Дополнительные сведения об эмитенте и о размещенных им ценных бумагах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174CA17" w14:textId="1FA3E23A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4.1. Подконтрольные эмитенту организации, имеющие для него существенное 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3879AE58" w14:textId="54ED9AE4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lastRenderedPageBreak/>
        <w:t>4.2. 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F224594" w14:textId="775C098F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0D40FEA" w14:textId="06D1D36E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27352FB" w14:textId="055D13DF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D435241" w14:textId="293A5F2E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4.2(1). Дополнительные сведения, раскрываемые эмитентами инфраструктурных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AB7772F" w14:textId="4228C533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4.2(2). Дополнительные сведения, раскрываемые эмитентами облигаций, связанных с целями устойчивого развития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B640B4E" w14:textId="7803BCBF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4.2(3). Дополнительные сведения, раскрываемые эмитентами облигаций климатического перехода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812A93F" w14:textId="02F2D8D0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EF39DAA" w14:textId="35CCCC6B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4.3.1. Дополнительные сведения об ипотечном покрытии по облигациям эмитента с ипотечным покрытием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12F4836A" w14:textId="23A7EC67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9622856" w14:textId="079699D8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4.4. Сведения об объявленных и выплаченных дивидендах по акциям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5B2593C" w14:textId="40EE3010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4.5. Сведения об организациях, осуществляющих учет прав на эмиссионные ценные бумаги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36164583" w14:textId="0D718ECF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4.5.1. Сведения о регистраторе, осуществляющем ведение реестра владельцев ценных бумаг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0F758FF4" w14:textId="2469B6BB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4.5.2. Сведения о депозитарии, осуществляющем централизованный учет прав на ценные бумаги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2C20438E" w14:textId="2B3BA559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4.6. Информация об аудиторе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6CCC761A" w14:textId="1E409B6C" w:rsidR="00E42134" w:rsidRDefault="00E42134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5. Консолидированная финансовая отчетность (финансовая отчетность), бухгалтерская (финансовая) отчетность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7ADBA346" w14:textId="567BAA9E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5.1. Консолидированная финансовая отчетность (финансовая отчетность)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5713C0EB" w14:textId="33B890F1" w:rsidR="00E42134" w:rsidRDefault="00E42134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5.2. Бухгалтерская (финансовая) отчетность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_Toc164444133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53047C0A" w14:textId="6569C391" w:rsidR="003345E9" w:rsidRPr="00EB023D" w:rsidRDefault="003345E9" w:rsidP="00852103">
      <w:pPr>
        <w:pStyle w:val="1"/>
      </w:pPr>
      <w:r w:rsidRPr="00EB023D">
        <w:fldChar w:fldCharType="end"/>
      </w:r>
      <w:r w:rsidRPr="00EB023D">
        <w:br w:type="page"/>
      </w:r>
      <w:bookmarkStart w:id="1" w:name="_Toc164444083"/>
      <w:r w:rsidRPr="00EB023D">
        <w:lastRenderedPageBreak/>
        <w:t>Введение</w:t>
      </w:r>
      <w:bookmarkEnd w:id="1"/>
    </w:p>
    <w:p w14:paraId="6E1767A4" w14:textId="77777777" w:rsidR="003345E9" w:rsidRPr="00EB023D" w:rsidRDefault="003345E9" w:rsidP="00554B3C">
      <w:pPr>
        <w:pStyle w:val="SubHeading"/>
        <w:jc w:val="both"/>
      </w:pPr>
      <w:r w:rsidRPr="00EB023D">
        <w:t>Основания возникновения у эмитента обязанности осуществлять раскрытие информации в форме отчета эмитента</w:t>
      </w:r>
    </w:p>
    <w:p w14:paraId="1C5E8CC9" w14:textId="6855508A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>Государственная регистрация хотя бы одного выпуска (дополни</w:t>
      </w:r>
      <w:r w:rsidR="00394F5E" w:rsidRPr="00EB023D">
        <w:rPr>
          <w:rStyle w:val="Subst"/>
          <w:bCs/>
          <w:iCs/>
        </w:rPr>
        <w:t>тельного выпуска) ценных бумаг Э</w:t>
      </w:r>
      <w:r w:rsidRPr="00EB023D">
        <w:rPr>
          <w:rStyle w:val="Subst"/>
          <w:bCs/>
          <w:iCs/>
        </w:rPr>
        <w:t xml:space="preserve">митента сопровождалась регистрацией проспекта эмиссии ценных бумаг, при </w:t>
      </w:r>
      <w:r w:rsidR="0032361D" w:rsidRPr="00EB023D">
        <w:rPr>
          <w:rStyle w:val="Subst"/>
          <w:bCs/>
          <w:iCs/>
        </w:rPr>
        <w:t>этом размещение</w:t>
      </w:r>
      <w:r w:rsidRPr="00EB023D">
        <w:rPr>
          <w:rStyle w:val="Subst"/>
          <w:bCs/>
          <w:iCs/>
        </w:rPr>
        <w:t xml:space="preserve"> таких ценных бумаг осуществлялось путем открытой подписки или путем закрытой подписки среди круга лиц, число которых превышало 500</w:t>
      </w:r>
      <w:r w:rsidR="00742637" w:rsidRPr="00EB023D">
        <w:rPr>
          <w:rStyle w:val="Subst"/>
          <w:bCs/>
          <w:iCs/>
        </w:rPr>
        <w:t>;</w:t>
      </w:r>
    </w:p>
    <w:p w14:paraId="724BB4B6" w14:textId="77777777" w:rsidR="00554B3C" w:rsidRPr="00EF7AE5" w:rsidRDefault="00554B3C" w:rsidP="00554B3C">
      <w:pPr>
        <w:ind w:left="200"/>
        <w:jc w:val="both"/>
        <w:rPr>
          <w:sz w:val="10"/>
          <w:szCs w:val="10"/>
        </w:rPr>
      </w:pPr>
    </w:p>
    <w:p w14:paraId="5D60A513" w14:textId="7B365008" w:rsidR="003345E9" w:rsidRPr="00EB023D" w:rsidRDefault="003345E9" w:rsidP="00554B3C">
      <w:pPr>
        <w:ind w:left="200"/>
        <w:jc w:val="both"/>
      </w:pPr>
      <w:r w:rsidRPr="00EB023D">
        <w:rPr>
          <w:rStyle w:val="Subst"/>
          <w:bCs/>
          <w:iCs/>
        </w:rPr>
        <w:t>Эмитент является акционерным обществом, созданным при приватизации государственных и/или муниципальных предприятий (их подразделений), и в соответствии с планом приватизации, утвержденным в установленном порядке и являвшимся на дату его утверждения п</w:t>
      </w:r>
      <w:r w:rsidR="00394F5E" w:rsidRPr="00EB023D">
        <w:rPr>
          <w:rStyle w:val="Subst"/>
          <w:bCs/>
          <w:iCs/>
        </w:rPr>
        <w:t>роспектом эмиссии акций такого Э</w:t>
      </w:r>
      <w:r w:rsidRPr="00EB023D">
        <w:rPr>
          <w:rStyle w:val="Subst"/>
          <w:bCs/>
          <w:iCs/>
        </w:rPr>
        <w:t>митента, была предусмотре</w:t>
      </w:r>
      <w:r w:rsidR="00394F5E" w:rsidRPr="00EB023D">
        <w:rPr>
          <w:rStyle w:val="Subst"/>
          <w:bCs/>
          <w:iCs/>
        </w:rPr>
        <w:t>на возможность отчуждения акций Э</w:t>
      </w:r>
      <w:r w:rsidRPr="00EB023D">
        <w:rPr>
          <w:rStyle w:val="Subst"/>
          <w:bCs/>
          <w:iCs/>
        </w:rPr>
        <w:t>митента более чем 500 приобретателям либо неограниченному кругу лиц</w:t>
      </w:r>
      <w:r w:rsidR="00742637" w:rsidRPr="00EB023D">
        <w:rPr>
          <w:rStyle w:val="Subst"/>
          <w:bCs/>
          <w:iCs/>
        </w:rPr>
        <w:t>;</w:t>
      </w:r>
    </w:p>
    <w:p w14:paraId="5FA9A696" w14:textId="77777777" w:rsidR="00554B3C" w:rsidRPr="00EF7AE5" w:rsidRDefault="00554B3C" w:rsidP="00554B3C">
      <w:pPr>
        <w:ind w:left="200"/>
        <w:jc w:val="both"/>
        <w:rPr>
          <w:rStyle w:val="Subst"/>
          <w:bCs/>
          <w:iCs/>
          <w:sz w:val="10"/>
          <w:szCs w:val="10"/>
        </w:rPr>
      </w:pPr>
    </w:p>
    <w:p w14:paraId="0A68BCC9" w14:textId="25526974" w:rsidR="003345E9" w:rsidRPr="00EB023D" w:rsidRDefault="003345E9" w:rsidP="00554B3C">
      <w:pPr>
        <w:ind w:left="200"/>
        <w:jc w:val="both"/>
      </w:pPr>
      <w:r w:rsidRPr="00EB023D">
        <w:rPr>
          <w:rStyle w:val="Subst"/>
          <w:bCs/>
          <w:iCs/>
        </w:rPr>
        <w:t>Эмитент является публичным акционерным обществом</w:t>
      </w:r>
      <w:r w:rsidR="00742637" w:rsidRPr="00EB023D">
        <w:rPr>
          <w:rStyle w:val="Subst"/>
          <w:bCs/>
          <w:iCs/>
        </w:rPr>
        <w:t>.</w:t>
      </w:r>
    </w:p>
    <w:p w14:paraId="6F1F1AE5" w14:textId="77777777" w:rsidR="003345E9" w:rsidRPr="00EF7AE5" w:rsidRDefault="003345E9" w:rsidP="00554B3C">
      <w:pPr>
        <w:ind w:left="200"/>
        <w:jc w:val="both"/>
        <w:rPr>
          <w:sz w:val="10"/>
          <w:szCs w:val="10"/>
        </w:rPr>
      </w:pPr>
    </w:p>
    <w:p w14:paraId="1757C605" w14:textId="77777777" w:rsidR="003345E9" w:rsidRPr="00EB023D" w:rsidRDefault="003345E9" w:rsidP="00554B3C">
      <w:pPr>
        <w:jc w:val="both"/>
      </w:pPr>
      <w:r w:rsidRPr="00EB023D">
        <w:t>Сведения об отчетности, которая (ссылка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</w:p>
    <w:p w14:paraId="0C9C3DB4" w14:textId="34E09605" w:rsidR="00476C83" w:rsidRPr="00EB023D" w:rsidRDefault="00476C83" w:rsidP="00D346B6">
      <w:pPr>
        <w:pStyle w:val="ConsPlusNormal"/>
        <w:spacing w:before="240"/>
        <w:jc w:val="both"/>
        <w:rPr>
          <w:b/>
          <w:bCs/>
          <w:i/>
        </w:rPr>
      </w:pPr>
      <w:r w:rsidRPr="00EB023D">
        <w:rPr>
          <w:b/>
          <w:bCs/>
          <w:i/>
        </w:rPr>
        <w:t xml:space="preserve">Раскрываемая консолидированная финансовая отчетность и отчет независимого аудитора по состоянию на и за год, закончившийся 31 декабря 2023 г., ссылка на отчетность: </w:t>
      </w:r>
      <w:hyperlink r:id="rId14" w:history="1">
        <w:r w:rsidR="00D346B6" w:rsidRPr="00E9641F">
          <w:rPr>
            <w:b/>
            <w:bCs/>
            <w:i/>
            <w:u w:val="single"/>
          </w:rPr>
          <w:t>https://disclosure.skrin.ru/disclosure/1658008723/?DTI=9</w:t>
        </w:r>
      </w:hyperlink>
      <w:r w:rsidR="00085625" w:rsidRPr="00EB023D">
        <w:rPr>
          <w:b/>
          <w:bCs/>
          <w:i/>
        </w:rPr>
        <w:t xml:space="preserve"> </w:t>
      </w:r>
      <w:r w:rsidR="00D346B6" w:rsidRPr="00EB023D">
        <w:rPr>
          <w:b/>
          <w:bCs/>
          <w:i/>
        </w:rPr>
        <w:t xml:space="preserve">   </w:t>
      </w:r>
      <w:r w:rsidRPr="00EB023D">
        <w:rPr>
          <w:b/>
          <w:bCs/>
          <w:i/>
        </w:rPr>
        <w:t xml:space="preserve"> </w:t>
      </w:r>
    </w:p>
    <w:p w14:paraId="7EE0CF74" w14:textId="77777777" w:rsidR="00DE738C" w:rsidRPr="00DE738C" w:rsidRDefault="00DE738C" w:rsidP="00DE738C">
      <w:pPr>
        <w:widowControl/>
        <w:spacing w:before="240" w:after="0"/>
        <w:jc w:val="both"/>
        <w:rPr>
          <w:bCs/>
          <w:iCs/>
          <w:lang w:eastAsia="en-US"/>
        </w:rPr>
      </w:pPr>
      <w:r w:rsidRPr="00DE738C">
        <w:rPr>
          <w:b/>
          <w:bCs/>
          <w:i/>
          <w:lang w:eastAsia="en-US"/>
        </w:rPr>
        <w:t>Бухгалтерская (финансовая) отчетность, на основании которой в отчете Эмитента раскрывается информация в пунктах: 1.5 (часть сведений), 1.6 (часть сведений), 1.7.1 (часть сведений), 1.7.2, ссылка на отчетность:</w:t>
      </w:r>
      <w:r w:rsidRPr="00DE738C">
        <w:rPr>
          <w:bCs/>
          <w:iCs/>
          <w:lang w:eastAsia="en-US"/>
        </w:rPr>
        <w:t xml:space="preserve"> </w:t>
      </w:r>
      <w:hyperlink r:id="rId15" w:history="1">
        <w:r w:rsidRPr="00DD1ED6">
          <w:rPr>
            <w:b/>
            <w:i/>
            <w:color w:val="000000" w:themeColor="text1"/>
            <w:u w:val="single"/>
            <w:lang w:eastAsia="en-US"/>
          </w:rPr>
          <w:t>https://disclosure.skrin.ru/disclosure/1658008723/?DTI=8</w:t>
        </w:r>
      </w:hyperlink>
      <w:r w:rsidRPr="00DD1ED6">
        <w:rPr>
          <w:color w:val="000000" w:themeColor="text1"/>
          <w:lang w:eastAsia="en-US"/>
        </w:rPr>
        <w:t xml:space="preserve"> </w:t>
      </w:r>
    </w:p>
    <w:p w14:paraId="49FFC217" w14:textId="77777777" w:rsidR="003345E9" w:rsidRPr="00EB023D" w:rsidRDefault="003345E9" w:rsidP="00554B3C">
      <w:pPr>
        <w:pStyle w:val="ThinDelim"/>
        <w:jc w:val="both"/>
      </w:pPr>
    </w:p>
    <w:p w14:paraId="73C5BF73" w14:textId="273B5FF6" w:rsidR="003345E9" w:rsidRPr="00EB023D" w:rsidRDefault="003345E9" w:rsidP="00554B3C">
      <w:pPr>
        <w:jc w:val="both"/>
      </w:pPr>
      <w:r w:rsidRPr="00EB023D">
        <w:t xml:space="preserve">Информация о финансово-хозяйственной деятельности эмитента отражает его деятельность в качестве организации, которая вместе с другими организациями в соответствии с </w:t>
      </w:r>
      <w:r w:rsidRPr="00B30573">
        <w:t>МСФО</w:t>
      </w:r>
      <w:r w:rsidRPr="00EB023D">
        <w:t xml:space="preserve"> определяется как </w:t>
      </w:r>
      <w:r w:rsidR="00332C08" w:rsidRPr="00EB023D">
        <w:t>Г</w:t>
      </w:r>
      <w:r w:rsidRPr="00EB023D">
        <w:t>руппа.</w:t>
      </w:r>
    </w:p>
    <w:p w14:paraId="3641E1DF" w14:textId="122B57EA" w:rsidR="007B2FE1" w:rsidRPr="00EB023D" w:rsidRDefault="007B2FE1" w:rsidP="007B2FE1">
      <w:pPr>
        <w:pStyle w:val="-"/>
        <w:keepLines/>
      </w:pPr>
      <w:r w:rsidRPr="00EB023D">
        <w:t xml:space="preserve">Основа подготовки </w:t>
      </w:r>
      <w:r w:rsidR="004C6C2E">
        <w:t xml:space="preserve">раскрываемой </w:t>
      </w:r>
      <w:r w:rsidRPr="00EB023D">
        <w:t xml:space="preserve">консолидированной финансовой отчетности приведена в </w:t>
      </w:r>
      <w:r w:rsidR="003B2F2F" w:rsidRPr="00EB023D">
        <w:t>Примечании 2</w:t>
      </w:r>
      <w:r w:rsidRPr="00EB023D">
        <w:t xml:space="preserve"> данной финансовой отчетности (подробнее в п. 5.1.).</w:t>
      </w:r>
    </w:p>
    <w:p w14:paraId="1FD9740F" w14:textId="77777777" w:rsidR="007B2FE1" w:rsidRPr="00EB023D" w:rsidRDefault="007B2FE1" w:rsidP="00554B3C">
      <w:pPr>
        <w:jc w:val="both"/>
      </w:pPr>
    </w:p>
    <w:p w14:paraId="044E897B" w14:textId="424EC11C" w:rsidR="00C7265A" w:rsidRPr="00EB023D" w:rsidRDefault="009C1DD7" w:rsidP="00831637">
      <w:pPr>
        <w:spacing w:before="0" w:after="0"/>
        <w:jc w:val="both"/>
      </w:pPr>
      <w:r w:rsidRPr="00EB023D">
        <w:t>Раскрываема</w:t>
      </w:r>
      <w:r w:rsidR="00561856" w:rsidRPr="00EB023D">
        <w:t>я</w:t>
      </w:r>
      <w:r w:rsidRPr="00EB023D">
        <w:t xml:space="preserve"> к</w:t>
      </w:r>
      <w:r w:rsidR="002127B1" w:rsidRPr="00EB023D">
        <w:t>онсолидированная финансовая отчетность Эмитента</w:t>
      </w:r>
      <w:r w:rsidR="00C7265A" w:rsidRPr="00EB023D">
        <w:t xml:space="preserve">, </w:t>
      </w:r>
      <w:r w:rsidR="002127B1" w:rsidRPr="00EB023D">
        <w:t xml:space="preserve">бухгалтерская (финансовая) отчетность Эмитента, </w:t>
      </w:r>
      <w:r w:rsidR="00C7265A" w:rsidRPr="00EB023D">
        <w:t xml:space="preserve">на основании которой в настоящем отчете эмитента раскрыта информация о финансово-хозяйственной деятельности эмитента, дает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 содержит </w:t>
      </w:r>
      <w:r w:rsidRPr="00EB023D">
        <w:t>п</w:t>
      </w:r>
      <w:r w:rsidR="00C7265A" w:rsidRPr="00EB023D">
        <w:t>редставление о деятельности эмитента, а также об основных рисках, связанных с его деятельностью.</w:t>
      </w:r>
    </w:p>
    <w:p w14:paraId="2B00BC5D" w14:textId="77777777" w:rsidR="003135F0" w:rsidRPr="00EB023D" w:rsidRDefault="003135F0" w:rsidP="00831637">
      <w:pPr>
        <w:spacing w:before="0" w:after="0"/>
        <w:jc w:val="both"/>
      </w:pPr>
    </w:p>
    <w:p w14:paraId="6294DF22" w14:textId="77777777" w:rsidR="003135F0" w:rsidRPr="00EB023D" w:rsidRDefault="003345E9" w:rsidP="00554B3C">
      <w:pPr>
        <w:jc w:val="both"/>
      </w:pPr>
      <w:r w:rsidRPr="00EB023D">
        <w:t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</w:t>
      </w:r>
    </w:p>
    <w:p w14:paraId="53FCD9F9" w14:textId="4B01A24A" w:rsidR="003345E9" w:rsidRPr="00EB023D" w:rsidRDefault="003345E9" w:rsidP="00554B3C">
      <w:pPr>
        <w:jc w:val="both"/>
      </w:pPr>
      <w:r w:rsidRPr="00EB023D">
        <w:br/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14:paraId="18BBC8DA" w14:textId="77777777" w:rsidR="003135F0" w:rsidRPr="00EB023D" w:rsidRDefault="003135F0" w:rsidP="00554B3C">
      <w:pPr>
        <w:jc w:val="both"/>
      </w:pPr>
    </w:p>
    <w:p w14:paraId="2642F854" w14:textId="77777777" w:rsidR="003345E9" w:rsidRPr="00EB023D" w:rsidRDefault="003345E9" w:rsidP="00554B3C">
      <w:pPr>
        <w:jc w:val="both"/>
      </w:pPr>
      <w:r w:rsidRPr="00EB023D">
        <w:t>Иная информация, которая, по мнению эмитента, будет полезна для заинтересованных лиц при принятии ими экономических решений:</w:t>
      </w:r>
      <w:r w:rsidR="00554B3C" w:rsidRPr="00EB023D">
        <w:t xml:space="preserve"> </w:t>
      </w:r>
      <w:r w:rsidRPr="00EB023D">
        <w:rPr>
          <w:rStyle w:val="Subst"/>
          <w:bCs/>
          <w:iCs/>
        </w:rPr>
        <w:t>отсутствует.</w:t>
      </w:r>
    </w:p>
    <w:p w14:paraId="18D0126E" w14:textId="77777777" w:rsidR="00311F3D" w:rsidRPr="00EB023D" w:rsidRDefault="00311F3D" w:rsidP="00311F3D">
      <w:pPr>
        <w:tabs>
          <w:tab w:val="left" w:pos="3443"/>
        </w:tabs>
      </w:pPr>
    </w:p>
    <w:p w14:paraId="3D37C8C1" w14:textId="6630C2A2" w:rsidR="00B57B5B" w:rsidRPr="00EB023D" w:rsidRDefault="005D40F2" w:rsidP="00EF7AE5">
      <w:pPr>
        <w:jc w:val="both"/>
      </w:pPr>
      <w:r w:rsidRPr="00EB023D">
        <w:t xml:space="preserve">В настоящем отчете эмитента используются следующие термины: Эмитент, либо </w:t>
      </w:r>
      <w:r w:rsidR="004B3B80" w:rsidRPr="00EB023D">
        <w:t>П</w:t>
      </w:r>
      <w:r w:rsidRPr="00EB023D">
        <w:t>АО «</w:t>
      </w:r>
      <w:r w:rsidR="004B3B80" w:rsidRPr="00EB023D">
        <w:t>Казаньоргсинтез</w:t>
      </w:r>
      <w:r w:rsidRPr="00EB023D">
        <w:t>»</w:t>
      </w:r>
      <w:r w:rsidR="00134CFC">
        <w:t xml:space="preserve">, либо Общество, либо Компания </w:t>
      </w:r>
      <w:r w:rsidRPr="00EB023D">
        <w:t xml:space="preserve">– </w:t>
      </w:r>
      <w:r w:rsidR="004B3B80" w:rsidRPr="00EB023D">
        <w:t xml:space="preserve">Казанское публичное </w:t>
      </w:r>
      <w:r w:rsidRPr="00EB023D">
        <w:t>акционерное общество «</w:t>
      </w:r>
      <w:r w:rsidR="004B3B80" w:rsidRPr="00EB023D">
        <w:t>Органический синтез</w:t>
      </w:r>
      <w:r w:rsidRPr="00EB023D">
        <w:t>», если иное не следует из контекста.</w:t>
      </w:r>
    </w:p>
    <w:p w14:paraId="3785C0CB" w14:textId="77777777" w:rsidR="003345E9" w:rsidRPr="00EB023D" w:rsidRDefault="003345E9" w:rsidP="003C7D4A">
      <w:pPr>
        <w:pStyle w:val="1"/>
      </w:pPr>
      <w:bookmarkStart w:id="2" w:name="_Toc164444084"/>
      <w:r w:rsidRPr="00EB023D">
        <w:lastRenderedPageBreak/>
        <w:t>Раздел 1. Управленческий отчет эмитента</w:t>
      </w:r>
      <w:bookmarkEnd w:id="2"/>
    </w:p>
    <w:p w14:paraId="2142037D" w14:textId="77777777" w:rsidR="003345E9" w:rsidRPr="00EB023D" w:rsidRDefault="003345E9" w:rsidP="00554B3C">
      <w:pPr>
        <w:pStyle w:val="2"/>
        <w:jc w:val="both"/>
      </w:pPr>
      <w:bookmarkStart w:id="3" w:name="_Toc164444085"/>
      <w:r w:rsidRPr="00EB023D">
        <w:t>1.1. Общие сведения об эмитенте и его деятельности</w:t>
      </w:r>
      <w:bookmarkEnd w:id="3"/>
    </w:p>
    <w:p w14:paraId="7C8CA0C8" w14:textId="635BDD3C" w:rsidR="003345E9" w:rsidRPr="00EB023D" w:rsidRDefault="003345E9" w:rsidP="00E70493">
      <w:pPr>
        <w:jc w:val="both"/>
      </w:pPr>
      <w:r w:rsidRPr="00EB023D">
        <w:t>Полное фирменное наименование эмитента:</w:t>
      </w:r>
      <w:r w:rsidRPr="00EB023D">
        <w:rPr>
          <w:rStyle w:val="Subst"/>
          <w:bCs/>
          <w:iCs/>
        </w:rPr>
        <w:t xml:space="preserve"> Казанское публичное акционерное общество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Органически</w:t>
      </w:r>
      <w:r w:rsidR="00055A1D" w:rsidRPr="00EB023D">
        <w:rPr>
          <w:rStyle w:val="Subst"/>
          <w:bCs/>
          <w:iCs/>
        </w:rPr>
        <w:t>й синтез»</w:t>
      </w:r>
      <w:r w:rsidR="00742637" w:rsidRPr="00EB023D">
        <w:rPr>
          <w:rStyle w:val="Subst"/>
          <w:bCs/>
          <w:iCs/>
        </w:rPr>
        <w:t>.</w:t>
      </w:r>
    </w:p>
    <w:p w14:paraId="3A0118B6" w14:textId="5BEF408A" w:rsidR="003345E9" w:rsidRPr="00EB023D" w:rsidRDefault="003345E9" w:rsidP="00E70493">
      <w:pPr>
        <w:jc w:val="both"/>
      </w:pPr>
      <w:r w:rsidRPr="00EB023D">
        <w:t>Сокращенное фирменное наименование эмитента:</w:t>
      </w:r>
      <w:r w:rsidRPr="00EB023D">
        <w:rPr>
          <w:rStyle w:val="Subst"/>
          <w:bCs/>
          <w:iCs/>
        </w:rPr>
        <w:t xml:space="preserve"> ПАО</w:t>
      </w:r>
      <w:r w:rsidR="008C43D6" w:rsidRPr="00EB023D">
        <w:rPr>
          <w:rStyle w:val="Subst"/>
          <w:bCs/>
          <w:iCs/>
        </w:rPr>
        <w:t xml:space="preserve"> «</w:t>
      </w:r>
      <w:r w:rsidR="00055A1D" w:rsidRPr="00EB023D">
        <w:rPr>
          <w:rStyle w:val="Subst"/>
          <w:bCs/>
          <w:iCs/>
        </w:rPr>
        <w:t>Казаньоргсинтез»</w:t>
      </w:r>
      <w:r w:rsidR="00742637" w:rsidRPr="00EB023D">
        <w:rPr>
          <w:rStyle w:val="Subst"/>
          <w:bCs/>
          <w:iCs/>
        </w:rPr>
        <w:t>.</w:t>
      </w:r>
    </w:p>
    <w:p w14:paraId="571DC1ED" w14:textId="77777777" w:rsidR="003345E9" w:rsidRPr="00EB023D" w:rsidRDefault="003345E9" w:rsidP="00E70493">
      <w:pPr>
        <w:jc w:val="both"/>
        <w:rPr>
          <w:sz w:val="6"/>
          <w:szCs w:val="6"/>
        </w:rPr>
      </w:pPr>
    </w:p>
    <w:p w14:paraId="2BA589B3" w14:textId="77777777" w:rsidR="003345E9" w:rsidRPr="00EB023D" w:rsidRDefault="00311F3D" w:rsidP="00E70493">
      <w:pPr>
        <w:jc w:val="both"/>
      </w:pPr>
      <w:r w:rsidRPr="00EB023D">
        <w:rPr>
          <w:rStyle w:val="Subst"/>
          <w:bCs/>
          <w:iCs/>
        </w:rPr>
        <w:t>В уставе Э</w:t>
      </w:r>
      <w:r w:rsidR="003345E9" w:rsidRPr="00EB023D">
        <w:rPr>
          <w:rStyle w:val="Subst"/>
          <w:bCs/>
          <w:iCs/>
        </w:rPr>
        <w:t>митента зарегистрировано наименование на иностранном языке</w:t>
      </w:r>
    </w:p>
    <w:p w14:paraId="0BC4BFC7" w14:textId="76FC8A21" w:rsidR="003345E9" w:rsidRPr="00EB023D" w:rsidRDefault="003345E9" w:rsidP="00E70493">
      <w:pPr>
        <w:jc w:val="both"/>
      </w:pPr>
      <w:r w:rsidRPr="00EB023D">
        <w:t>Наименование эмитента на иностранном языке:</w:t>
      </w:r>
      <w:r w:rsidR="00542518" w:rsidRPr="00EB023D">
        <w:rPr>
          <w:rStyle w:val="Subst"/>
          <w:bCs/>
          <w:iCs/>
        </w:rPr>
        <w:t xml:space="preserve"> Полное фирменное наименование Э</w:t>
      </w:r>
      <w:r w:rsidRPr="00EB023D">
        <w:rPr>
          <w:rStyle w:val="Subst"/>
          <w:bCs/>
          <w:iCs/>
        </w:rPr>
        <w:t xml:space="preserve">митента на иностранном (английском) языке: </w:t>
      </w:r>
      <w:proofErr w:type="spellStart"/>
      <w:r w:rsidRPr="00EB023D">
        <w:rPr>
          <w:rStyle w:val="Subst"/>
          <w:bCs/>
          <w:iCs/>
        </w:rPr>
        <w:t>Kazan</w:t>
      </w:r>
      <w:proofErr w:type="spellEnd"/>
      <w:r w:rsidRPr="00EB023D">
        <w:rPr>
          <w:rStyle w:val="Subst"/>
          <w:bCs/>
          <w:iCs/>
        </w:rPr>
        <w:t xml:space="preserve"> </w:t>
      </w:r>
      <w:proofErr w:type="spellStart"/>
      <w:r w:rsidRPr="00EB023D">
        <w:rPr>
          <w:rStyle w:val="Subst"/>
          <w:bCs/>
          <w:iCs/>
        </w:rPr>
        <w:t>Public</w:t>
      </w:r>
      <w:proofErr w:type="spellEnd"/>
      <w:r w:rsidRPr="00EB023D">
        <w:rPr>
          <w:rStyle w:val="Subst"/>
          <w:bCs/>
          <w:iCs/>
        </w:rPr>
        <w:t xml:space="preserve"> </w:t>
      </w:r>
      <w:proofErr w:type="spellStart"/>
      <w:r w:rsidRPr="00EB023D">
        <w:rPr>
          <w:rStyle w:val="Subst"/>
          <w:bCs/>
          <w:iCs/>
        </w:rPr>
        <w:t>Joint</w:t>
      </w:r>
      <w:proofErr w:type="spellEnd"/>
      <w:r w:rsidRPr="00EB023D">
        <w:rPr>
          <w:rStyle w:val="Subst"/>
          <w:bCs/>
          <w:iCs/>
        </w:rPr>
        <w:t xml:space="preserve"> </w:t>
      </w:r>
      <w:proofErr w:type="spellStart"/>
      <w:r w:rsidRPr="00EB023D">
        <w:rPr>
          <w:rStyle w:val="Subst"/>
          <w:bCs/>
          <w:iCs/>
        </w:rPr>
        <w:t>Stock</w:t>
      </w:r>
      <w:proofErr w:type="spellEnd"/>
      <w:r w:rsidRPr="00EB023D">
        <w:rPr>
          <w:rStyle w:val="Subst"/>
          <w:bCs/>
          <w:iCs/>
        </w:rPr>
        <w:t xml:space="preserve"> </w:t>
      </w:r>
      <w:proofErr w:type="spellStart"/>
      <w:r w:rsidRPr="00EB023D">
        <w:rPr>
          <w:rStyle w:val="Subst"/>
          <w:bCs/>
          <w:iCs/>
        </w:rPr>
        <w:t>Company</w:t>
      </w:r>
      <w:proofErr w:type="spellEnd"/>
      <w:r w:rsidRPr="00EB023D">
        <w:rPr>
          <w:rStyle w:val="Subst"/>
          <w:bCs/>
          <w:iCs/>
        </w:rPr>
        <w:t xml:space="preserve"> </w:t>
      </w:r>
      <w:proofErr w:type="spellStart"/>
      <w:r w:rsidRPr="00EB023D">
        <w:rPr>
          <w:rStyle w:val="Subst"/>
          <w:bCs/>
          <w:iCs/>
        </w:rPr>
        <w:t>Organichesky</w:t>
      </w:r>
      <w:proofErr w:type="spellEnd"/>
      <w:r w:rsidRPr="00EB023D">
        <w:rPr>
          <w:rStyle w:val="Subst"/>
          <w:bCs/>
          <w:iCs/>
        </w:rPr>
        <w:t xml:space="preserve"> </w:t>
      </w:r>
      <w:proofErr w:type="spellStart"/>
      <w:r w:rsidRPr="00EB023D">
        <w:rPr>
          <w:rStyle w:val="Subst"/>
          <w:bCs/>
          <w:iCs/>
        </w:rPr>
        <w:t>Sintez</w:t>
      </w:r>
      <w:proofErr w:type="spellEnd"/>
      <w:r w:rsidR="00742637" w:rsidRPr="00EB023D">
        <w:rPr>
          <w:rStyle w:val="Subst"/>
          <w:bCs/>
          <w:iCs/>
        </w:rPr>
        <w:t>.</w:t>
      </w:r>
    </w:p>
    <w:p w14:paraId="15FDDA3C" w14:textId="77777777" w:rsidR="003345E9" w:rsidRPr="00EB023D" w:rsidRDefault="003345E9" w:rsidP="00E70493">
      <w:pPr>
        <w:jc w:val="both"/>
        <w:rPr>
          <w:sz w:val="6"/>
          <w:szCs w:val="6"/>
        </w:rPr>
      </w:pPr>
    </w:p>
    <w:p w14:paraId="46A9F854" w14:textId="72120FB0" w:rsidR="003345E9" w:rsidRPr="00EB023D" w:rsidRDefault="003345E9" w:rsidP="00E70493">
      <w:pPr>
        <w:jc w:val="both"/>
      </w:pPr>
      <w:r w:rsidRPr="00EB023D">
        <w:t>Наименование эмитента на иностранном языке:</w:t>
      </w:r>
      <w:r w:rsidRPr="00EB023D">
        <w:rPr>
          <w:rStyle w:val="Subst"/>
          <w:bCs/>
          <w:iCs/>
        </w:rPr>
        <w:t xml:space="preserve"> Сокра</w:t>
      </w:r>
      <w:r w:rsidR="00542518" w:rsidRPr="00EB023D">
        <w:rPr>
          <w:rStyle w:val="Subst"/>
          <w:bCs/>
          <w:iCs/>
        </w:rPr>
        <w:t>щенное наименование Э</w:t>
      </w:r>
      <w:r w:rsidRPr="00EB023D">
        <w:rPr>
          <w:rStyle w:val="Subst"/>
          <w:bCs/>
          <w:iCs/>
        </w:rPr>
        <w:t xml:space="preserve">митента на иностранном (английском) языке: </w:t>
      </w:r>
      <w:proofErr w:type="spellStart"/>
      <w:r w:rsidRPr="00EB023D">
        <w:rPr>
          <w:rStyle w:val="Subst"/>
          <w:bCs/>
          <w:iCs/>
        </w:rPr>
        <w:t>Kazanorgsintez</w:t>
      </w:r>
      <w:proofErr w:type="spellEnd"/>
      <w:r w:rsidRPr="00EB023D">
        <w:rPr>
          <w:rStyle w:val="Subst"/>
          <w:bCs/>
          <w:iCs/>
        </w:rPr>
        <w:t xml:space="preserve"> PJSC</w:t>
      </w:r>
      <w:r w:rsidR="00742637" w:rsidRPr="00EB023D">
        <w:rPr>
          <w:rStyle w:val="Subst"/>
          <w:bCs/>
          <w:iCs/>
        </w:rPr>
        <w:t>.</w:t>
      </w:r>
    </w:p>
    <w:p w14:paraId="01A881C4" w14:textId="77777777" w:rsidR="003345E9" w:rsidRPr="00EB023D" w:rsidRDefault="003345E9" w:rsidP="00E70493">
      <w:pPr>
        <w:jc w:val="both"/>
      </w:pPr>
    </w:p>
    <w:p w14:paraId="3886E81D" w14:textId="7E7229C3" w:rsidR="003345E9" w:rsidRPr="00EB023D" w:rsidRDefault="003345E9" w:rsidP="00E70493">
      <w:pPr>
        <w:jc w:val="both"/>
      </w:pPr>
      <w:r w:rsidRPr="00EB023D">
        <w:t>Место нахождения эмитента:</w:t>
      </w:r>
      <w:r w:rsidRPr="00EB023D">
        <w:rPr>
          <w:rStyle w:val="Subst"/>
          <w:bCs/>
          <w:iCs/>
        </w:rPr>
        <w:t xml:space="preserve"> Республика Татарстан, г. Казань</w:t>
      </w:r>
      <w:r w:rsidR="00742637" w:rsidRPr="00EB023D">
        <w:rPr>
          <w:rStyle w:val="Subst"/>
          <w:bCs/>
          <w:iCs/>
        </w:rPr>
        <w:t>.</w:t>
      </w:r>
    </w:p>
    <w:p w14:paraId="2A8364F3" w14:textId="1D62DF4B" w:rsidR="003345E9" w:rsidRPr="00EB023D" w:rsidRDefault="003345E9" w:rsidP="00E70493">
      <w:pPr>
        <w:jc w:val="both"/>
      </w:pPr>
      <w:r w:rsidRPr="00EB023D">
        <w:t>Адрес эмитента:</w:t>
      </w:r>
      <w:r w:rsidRPr="00EB023D">
        <w:rPr>
          <w:rStyle w:val="Subst"/>
          <w:bCs/>
          <w:iCs/>
        </w:rPr>
        <w:t xml:space="preserve"> 420051, Республика Татарстан, г. Казань, ул. Беломорская, д. 101</w:t>
      </w:r>
      <w:r w:rsidR="00742637" w:rsidRPr="00EB023D">
        <w:rPr>
          <w:rStyle w:val="Subst"/>
          <w:bCs/>
          <w:iCs/>
        </w:rPr>
        <w:t>.</w:t>
      </w:r>
    </w:p>
    <w:p w14:paraId="0DC47700" w14:textId="575DF540" w:rsidR="003345E9" w:rsidRPr="00EB023D" w:rsidRDefault="003345E9" w:rsidP="00E70493">
      <w:pPr>
        <w:jc w:val="both"/>
      </w:pPr>
      <w:r w:rsidRPr="00EB023D">
        <w:t>Сведения о способе создания эмитента:</w:t>
      </w:r>
      <w:r w:rsidRPr="00EB023D">
        <w:br/>
      </w:r>
      <w:r w:rsidRPr="00EB023D">
        <w:rPr>
          <w:rStyle w:val="Subst"/>
          <w:bCs/>
          <w:iCs/>
        </w:rPr>
        <w:t xml:space="preserve">История </w:t>
      </w:r>
      <w:r w:rsidR="00134CFC">
        <w:rPr>
          <w:rStyle w:val="Subst"/>
          <w:bCs/>
          <w:iCs/>
        </w:rPr>
        <w:t>Эмитента</w:t>
      </w:r>
      <w:r w:rsidRPr="00EB023D">
        <w:rPr>
          <w:rStyle w:val="Subst"/>
          <w:bCs/>
          <w:iCs/>
        </w:rPr>
        <w:t xml:space="preserve"> началась в 1958 году, когда было принято решение о строительстве завода. В 1963 году были получены первые тонны фенола и ацетона и завод вступил в число действующих химических </w:t>
      </w:r>
      <w:r w:rsidR="00134CFC">
        <w:rPr>
          <w:rStyle w:val="Subst"/>
          <w:bCs/>
          <w:iCs/>
        </w:rPr>
        <w:t>компаний</w:t>
      </w:r>
      <w:r w:rsidRPr="00EB023D">
        <w:rPr>
          <w:rStyle w:val="Subst"/>
          <w:bCs/>
          <w:iCs/>
        </w:rPr>
        <w:t>.</w:t>
      </w:r>
      <w:r w:rsidRPr="00EB023D">
        <w:rPr>
          <w:rStyle w:val="Subst"/>
          <w:bCs/>
          <w:iCs/>
        </w:rPr>
        <w:br/>
        <w:t>Казанское публичное акционерное общество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Органический синтез</w:t>
      </w:r>
      <w:r w:rsidR="008C43D6" w:rsidRPr="00EB023D">
        <w:rPr>
          <w:rStyle w:val="Subst"/>
          <w:bCs/>
          <w:iCs/>
        </w:rPr>
        <w:t xml:space="preserve">» </w:t>
      </w:r>
      <w:r w:rsidRPr="00EB023D">
        <w:rPr>
          <w:rStyle w:val="Subst"/>
          <w:bCs/>
          <w:iCs/>
        </w:rPr>
        <w:t>создано в 1993 году в соответствии с планом приватизации Казанского арендного производственного объединения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Органический синтез».</w:t>
      </w:r>
    </w:p>
    <w:p w14:paraId="451601BB" w14:textId="1F07F87F" w:rsidR="003345E9" w:rsidRPr="00EB023D" w:rsidRDefault="003345E9" w:rsidP="00E70493">
      <w:pPr>
        <w:jc w:val="both"/>
      </w:pPr>
      <w:r w:rsidRPr="00EB023D">
        <w:t>Дата создания эмитента:</w:t>
      </w:r>
      <w:r w:rsidRPr="00EB023D">
        <w:rPr>
          <w:rStyle w:val="Subst"/>
          <w:bCs/>
          <w:iCs/>
        </w:rPr>
        <w:t xml:space="preserve"> 31.08.1993</w:t>
      </w:r>
      <w:r w:rsidR="00742637" w:rsidRPr="00EB023D">
        <w:rPr>
          <w:rStyle w:val="Subst"/>
          <w:bCs/>
          <w:iCs/>
        </w:rPr>
        <w:t>.</w:t>
      </w:r>
    </w:p>
    <w:p w14:paraId="784D4EC1" w14:textId="77777777" w:rsidR="003345E9" w:rsidRPr="00EB023D" w:rsidRDefault="003345E9" w:rsidP="00E70493">
      <w:pPr>
        <w:pStyle w:val="SubHeading"/>
        <w:jc w:val="both"/>
      </w:pPr>
      <w:r w:rsidRPr="00EB023D">
        <w:t>Все предшествующие наименования эмитента в течение трех последних лет, предшествующих дате окончания отчетного периода, за который составлен отчет эмитента</w:t>
      </w:r>
    </w:p>
    <w:p w14:paraId="48D32A90" w14:textId="1010E61D" w:rsidR="003345E9" w:rsidRPr="00EB023D" w:rsidRDefault="00742EDA" w:rsidP="00E70493">
      <w:pPr>
        <w:jc w:val="both"/>
      </w:pPr>
      <w:r w:rsidRPr="00EB023D">
        <w:rPr>
          <w:rStyle w:val="Subst"/>
          <w:bCs/>
          <w:iCs/>
        </w:rPr>
        <w:t>Наименования Э</w:t>
      </w:r>
      <w:r w:rsidR="003345E9" w:rsidRPr="00EB023D">
        <w:rPr>
          <w:rStyle w:val="Subst"/>
          <w:bCs/>
          <w:iCs/>
        </w:rPr>
        <w:t>митента в течение трех последних лет, предшествующих дате окончания отчетного перио</w:t>
      </w:r>
      <w:r w:rsidR="0032361D" w:rsidRPr="00EB023D">
        <w:rPr>
          <w:rStyle w:val="Subst"/>
          <w:bCs/>
          <w:iCs/>
        </w:rPr>
        <w:t>да, за который составлен отчет Э</w:t>
      </w:r>
      <w:r w:rsidR="003345E9" w:rsidRPr="00EB023D">
        <w:rPr>
          <w:rStyle w:val="Subst"/>
          <w:bCs/>
          <w:iCs/>
        </w:rPr>
        <w:t>митента, не изменялись</w:t>
      </w:r>
      <w:r w:rsidR="00742637" w:rsidRPr="00EB023D">
        <w:rPr>
          <w:rStyle w:val="Subst"/>
          <w:bCs/>
          <w:iCs/>
        </w:rPr>
        <w:t>.</w:t>
      </w:r>
    </w:p>
    <w:p w14:paraId="6814B83E" w14:textId="72917D33" w:rsidR="003345E9" w:rsidRPr="00EB023D" w:rsidRDefault="003345E9" w:rsidP="00E70493">
      <w:pPr>
        <w:jc w:val="both"/>
      </w:pPr>
      <w:r w:rsidRPr="00EB023D">
        <w:rPr>
          <w:rStyle w:val="Subst"/>
          <w:bCs/>
          <w:iCs/>
        </w:rPr>
        <w:t xml:space="preserve">Реорганизации </w:t>
      </w:r>
      <w:r w:rsidR="00742EDA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митента в течение трех последних лет, предшествующих дате окончания отчетного перио</w:t>
      </w:r>
      <w:r w:rsidR="00742EDA" w:rsidRPr="00EB023D">
        <w:rPr>
          <w:rStyle w:val="Subst"/>
          <w:bCs/>
          <w:iCs/>
        </w:rPr>
        <w:t>да, за который составлен отчет Э</w:t>
      </w:r>
      <w:r w:rsidRPr="00EB023D">
        <w:rPr>
          <w:rStyle w:val="Subst"/>
          <w:bCs/>
          <w:iCs/>
        </w:rPr>
        <w:t>митента, не осуществлялись</w:t>
      </w:r>
      <w:r w:rsidR="00742637" w:rsidRPr="00EB023D">
        <w:rPr>
          <w:rStyle w:val="Subst"/>
          <w:bCs/>
          <w:iCs/>
        </w:rPr>
        <w:t>.</w:t>
      </w:r>
    </w:p>
    <w:p w14:paraId="7DED0BDF" w14:textId="79A0B035" w:rsidR="003345E9" w:rsidRPr="00EB023D" w:rsidRDefault="003345E9" w:rsidP="00E70493">
      <w:pPr>
        <w:jc w:val="both"/>
      </w:pPr>
      <w:r w:rsidRPr="00EB023D">
        <w:t>Основной государственный регистрационный номер (ОГРН):</w:t>
      </w:r>
      <w:r w:rsidRPr="00EB023D">
        <w:rPr>
          <w:rStyle w:val="Subst"/>
          <w:bCs/>
          <w:iCs/>
        </w:rPr>
        <w:t xml:space="preserve"> 1021603267674</w:t>
      </w:r>
      <w:r w:rsidR="00742637" w:rsidRPr="00EB023D">
        <w:rPr>
          <w:rStyle w:val="Subst"/>
          <w:bCs/>
          <w:iCs/>
        </w:rPr>
        <w:t>.</w:t>
      </w:r>
    </w:p>
    <w:p w14:paraId="09ED52B1" w14:textId="6EE8BCBE" w:rsidR="003345E9" w:rsidRPr="00EB023D" w:rsidRDefault="003345E9" w:rsidP="00E70493">
      <w:pPr>
        <w:jc w:val="both"/>
      </w:pPr>
      <w:r w:rsidRPr="00EB023D">
        <w:t>ИНН:</w:t>
      </w:r>
      <w:r w:rsidRPr="00EB023D">
        <w:rPr>
          <w:rStyle w:val="Subst"/>
          <w:bCs/>
          <w:iCs/>
        </w:rPr>
        <w:t xml:space="preserve"> 1658008723</w:t>
      </w:r>
      <w:r w:rsidR="00742637" w:rsidRPr="00EB023D">
        <w:rPr>
          <w:rStyle w:val="Subst"/>
          <w:bCs/>
          <w:iCs/>
        </w:rPr>
        <w:t>.</w:t>
      </w:r>
    </w:p>
    <w:p w14:paraId="7089FA55" w14:textId="4F677939" w:rsidR="003345E9" w:rsidRPr="00EB023D" w:rsidRDefault="003345E9" w:rsidP="00E70493">
      <w:pPr>
        <w:jc w:val="both"/>
      </w:pPr>
      <w:r w:rsidRPr="00EB023D">
        <w:t>Краткое описание финансово-хозяйственной деятельности, операционных сегментов и географии осуществления финансово-хозяйственной деятельности группы эмитента:</w:t>
      </w:r>
      <w:r w:rsidRPr="00EB023D">
        <w:br/>
      </w:r>
      <w:r w:rsidRPr="00EB023D">
        <w:rPr>
          <w:rStyle w:val="Subst"/>
          <w:bCs/>
          <w:iCs/>
        </w:rPr>
        <w:t>ПАО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Казаньоргсинтез</w:t>
      </w:r>
      <w:r w:rsidR="008C43D6" w:rsidRPr="00EB023D">
        <w:rPr>
          <w:rStyle w:val="Subst"/>
          <w:bCs/>
          <w:iCs/>
        </w:rPr>
        <w:t xml:space="preserve">» </w:t>
      </w:r>
      <w:r w:rsidRPr="00EB023D">
        <w:rPr>
          <w:rStyle w:val="Subst"/>
          <w:bCs/>
          <w:iCs/>
        </w:rPr>
        <w:t xml:space="preserve">- один из крупнейших российских производителей полимеров и сополимеров этилена, а также единственный производитель поликарбоната и </w:t>
      </w:r>
      <w:proofErr w:type="spellStart"/>
      <w:r w:rsidRPr="00EB023D">
        <w:rPr>
          <w:rStyle w:val="Subst"/>
          <w:bCs/>
          <w:iCs/>
        </w:rPr>
        <w:t>сэвилена</w:t>
      </w:r>
      <w:proofErr w:type="spellEnd"/>
      <w:r w:rsidRPr="00EB023D">
        <w:rPr>
          <w:rStyle w:val="Subst"/>
          <w:bCs/>
          <w:iCs/>
        </w:rPr>
        <w:t xml:space="preserve"> на территории Российской Федерации.</w:t>
      </w:r>
      <w:r w:rsidRPr="00EB023D">
        <w:rPr>
          <w:rStyle w:val="Subst"/>
          <w:bCs/>
          <w:iCs/>
        </w:rPr>
        <w:br/>
        <w:t xml:space="preserve">Основными продуктами, реализуемыми Обществом, являются полимеры этилена, поликарбонаты, а также продукция органического синтеза. </w:t>
      </w:r>
      <w:r w:rsidRPr="00EB023D">
        <w:rPr>
          <w:rStyle w:val="Subst"/>
          <w:bCs/>
          <w:iCs/>
        </w:rPr>
        <w:br/>
        <w:t>Приоритетными направлениями деятельности ПАО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Казаньоргсинтез</w:t>
      </w:r>
      <w:r w:rsidR="008C43D6" w:rsidRPr="00EB023D">
        <w:rPr>
          <w:rStyle w:val="Subst"/>
          <w:bCs/>
          <w:iCs/>
        </w:rPr>
        <w:t xml:space="preserve">» </w:t>
      </w:r>
      <w:r w:rsidRPr="00EB023D">
        <w:rPr>
          <w:rStyle w:val="Subst"/>
          <w:bCs/>
          <w:iCs/>
        </w:rPr>
        <w:t xml:space="preserve">являются реализация продукции, производимой </w:t>
      </w:r>
      <w:r w:rsidR="00214C05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митентом, в целях обеспечения конкурентоспособности и устойчивой прибыли для ПАО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Казаньоргсинтез», а также осуществление взвешенной ценовой политики и расширения рынка сбыта своей продукции.</w:t>
      </w:r>
      <w:r w:rsidRPr="00EB023D">
        <w:rPr>
          <w:rStyle w:val="Subst"/>
          <w:bCs/>
          <w:iCs/>
        </w:rPr>
        <w:br/>
        <w:t>Группа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Казаньоргсинтез</w:t>
      </w:r>
      <w:r w:rsidR="008C43D6" w:rsidRPr="00EB023D">
        <w:rPr>
          <w:rStyle w:val="Subst"/>
          <w:bCs/>
          <w:iCs/>
        </w:rPr>
        <w:t xml:space="preserve">» </w:t>
      </w:r>
      <w:r w:rsidRPr="00EB023D">
        <w:rPr>
          <w:rStyle w:val="Subst"/>
          <w:bCs/>
          <w:iCs/>
        </w:rPr>
        <w:t xml:space="preserve">рассматривает свою деятельность как единый операционный и отчетный сегмент, так как основная деятельность Группы осуществляется на территории Российской Федерации и заключается </w:t>
      </w:r>
      <w:r w:rsidR="001D18B7" w:rsidRPr="00EB023D">
        <w:rPr>
          <w:rStyle w:val="Subst"/>
          <w:bCs/>
          <w:iCs/>
        </w:rPr>
        <w:t xml:space="preserve">в </w:t>
      </w:r>
      <w:r w:rsidR="005326D6" w:rsidRPr="00EB023D">
        <w:rPr>
          <w:rStyle w:val="Subst"/>
          <w:bCs/>
          <w:iCs/>
        </w:rPr>
        <w:t>производств</w:t>
      </w:r>
      <w:r w:rsidR="001D18B7" w:rsidRPr="00EB023D">
        <w:rPr>
          <w:rStyle w:val="Subst"/>
          <w:bCs/>
          <w:iCs/>
        </w:rPr>
        <w:t>е</w:t>
      </w:r>
      <w:r w:rsidR="005326D6" w:rsidRPr="00EB023D">
        <w:rPr>
          <w:rStyle w:val="Subst"/>
          <w:bCs/>
          <w:iCs/>
        </w:rPr>
        <w:t xml:space="preserve"> и реализаци</w:t>
      </w:r>
      <w:r w:rsidR="001D18B7" w:rsidRPr="00EB023D">
        <w:rPr>
          <w:rStyle w:val="Subst"/>
          <w:bCs/>
          <w:iCs/>
        </w:rPr>
        <w:t>и</w:t>
      </w:r>
      <w:r w:rsidR="005326D6" w:rsidRPr="00EB023D">
        <w:rPr>
          <w:rStyle w:val="Subst"/>
          <w:bCs/>
          <w:iCs/>
        </w:rPr>
        <w:t xml:space="preserve"> нефтехимической продукции.</w:t>
      </w:r>
      <w:r w:rsidRPr="00EB023D">
        <w:rPr>
          <w:rStyle w:val="Subst"/>
          <w:bCs/>
          <w:iCs/>
        </w:rPr>
        <w:br/>
        <w:t>География осуществления финанс</w:t>
      </w:r>
      <w:r w:rsidR="00652D62" w:rsidRPr="00EB023D">
        <w:rPr>
          <w:rStyle w:val="Subst"/>
          <w:bCs/>
          <w:iCs/>
        </w:rPr>
        <w:t>ово-хозяйственной деятельности Э</w:t>
      </w:r>
      <w:r w:rsidR="003135F0" w:rsidRPr="00EB023D">
        <w:rPr>
          <w:rStyle w:val="Subst"/>
          <w:bCs/>
          <w:iCs/>
        </w:rPr>
        <w:t xml:space="preserve">митента – Российская </w:t>
      </w:r>
      <w:r w:rsidRPr="00EB023D">
        <w:rPr>
          <w:rStyle w:val="Subst"/>
          <w:bCs/>
          <w:iCs/>
        </w:rPr>
        <w:t xml:space="preserve"> Федераци</w:t>
      </w:r>
      <w:r w:rsidR="003135F0" w:rsidRPr="00EB023D">
        <w:rPr>
          <w:rStyle w:val="Subst"/>
          <w:bCs/>
          <w:iCs/>
        </w:rPr>
        <w:t>я</w:t>
      </w:r>
      <w:r w:rsidRPr="00EB023D">
        <w:rPr>
          <w:rStyle w:val="Subst"/>
          <w:bCs/>
          <w:iCs/>
        </w:rPr>
        <w:t>.</w:t>
      </w:r>
    </w:p>
    <w:p w14:paraId="25220575" w14:textId="77777777" w:rsidR="00561856" w:rsidRPr="004C6C2E" w:rsidRDefault="003345E9" w:rsidP="004C6C2E">
      <w:pPr>
        <w:pStyle w:val="af3"/>
        <w:jc w:val="both"/>
        <w:rPr>
          <w:rFonts w:ascii="Times New Roman" w:hAnsi="Times New Roman"/>
          <w:b/>
          <w:bCs/>
          <w:i/>
          <w:iCs/>
        </w:rPr>
      </w:pPr>
      <w:r w:rsidRPr="004C6C2E">
        <w:rPr>
          <w:rFonts w:ascii="Times New Roman" w:hAnsi="Times New Roman"/>
        </w:rPr>
        <w:t>Краткая характеристика группы эмитента:</w:t>
      </w:r>
      <w:r w:rsidRPr="004C6C2E">
        <w:rPr>
          <w:rFonts w:ascii="Times New Roman" w:hAnsi="Times New Roman"/>
        </w:rPr>
        <w:br/>
      </w:r>
      <w:r w:rsidR="00684D56" w:rsidRPr="004C6C2E">
        <w:rPr>
          <w:rFonts w:ascii="Times New Roman" w:hAnsi="Times New Roman"/>
          <w:b/>
          <w:bCs/>
          <w:i/>
          <w:iCs/>
        </w:rPr>
        <w:t xml:space="preserve">Эмитентом составляется и </w:t>
      </w:r>
      <w:r w:rsidR="00FF2CEB" w:rsidRPr="004C6C2E">
        <w:rPr>
          <w:rFonts w:ascii="Times New Roman" w:hAnsi="Times New Roman"/>
          <w:b/>
          <w:bCs/>
          <w:i/>
          <w:iCs/>
        </w:rPr>
        <w:t xml:space="preserve">содержится в отчете </w:t>
      </w:r>
      <w:r w:rsidR="009C73BF" w:rsidRPr="004C6C2E">
        <w:rPr>
          <w:rFonts w:ascii="Times New Roman" w:hAnsi="Times New Roman"/>
          <w:b/>
          <w:bCs/>
          <w:i/>
          <w:iCs/>
        </w:rPr>
        <w:t>Э</w:t>
      </w:r>
      <w:r w:rsidR="00FF2CEB" w:rsidRPr="004C6C2E">
        <w:rPr>
          <w:rFonts w:ascii="Times New Roman" w:hAnsi="Times New Roman"/>
          <w:b/>
          <w:bCs/>
          <w:i/>
          <w:iCs/>
        </w:rPr>
        <w:t xml:space="preserve">митента </w:t>
      </w:r>
      <w:r w:rsidR="00561856" w:rsidRPr="004C6C2E">
        <w:rPr>
          <w:rFonts w:ascii="Times New Roman" w:hAnsi="Times New Roman"/>
          <w:b/>
          <w:bCs/>
          <w:i/>
          <w:iCs/>
        </w:rPr>
        <w:t xml:space="preserve">раскрываемая </w:t>
      </w:r>
      <w:r w:rsidR="00684D56" w:rsidRPr="004C6C2E">
        <w:rPr>
          <w:rFonts w:ascii="Times New Roman" w:hAnsi="Times New Roman"/>
          <w:b/>
          <w:bCs/>
          <w:i/>
          <w:iCs/>
        </w:rPr>
        <w:t xml:space="preserve">консолидированная финансовая </w:t>
      </w:r>
      <w:r w:rsidR="007B2FE1" w:rsidRPr="004C6C2E">
        <w:rPr>
          <w:rFonts w:ascii="Times New Roman" w:hAnsi="Times New Roman"/>
          <w:b/>
          <w:bCs/>
          <w:i/>
          <w:iCs/>
        </w:rPr>
        <w:t>отчетность</w:t>
      </w:r>
      <w:r w:rsidR="00561856" w:rsidRPr="004C6C2E">
        <w:rPr>
          <w:rFonts w:ascii="Times New Roman" w:hAnsi="Times New Roman"/>
          <w:b/>
          <w:bCs/>
          <w:i/>
          <w:iCs/>
        </w:rPr>
        <w:t xml:space="preserve"> по состоянию на и за год, закончившийся 31 декабря 2023 г.</w:t>
      </w:r>
    </w:p>
    <w:p w14:paraId="329DC118" w14:textId="22124F69" w:rsidR="00CB0701" w:rsidRDefault="00CB0701" w:rsidP="00561856">
      <w:pPr>
        <w:pStyle w:val="af3"/>
      </w:pPr>
    </w:p>
    <w:p w14:paraId="337D22EC" w14:textId="6B88A943" w:rsidR="00C22D64" w:rsidRDefault="00C22D64" w:rsidP="00561856">
      <w:pPr>
        <w:pStyle w:val="af3"/>
      </w:pPr>
    </w:p>
    <w:p w14:paraId="74D26D37" w14:textId="77777777" w:rsidR="00C22D64" w:rsidRPr="00EB023D" w:rsidRDefault="00C22D64" w:rsidP="00561856">
      <w:pPr>
        <w:pStyle w:val="af3"/>
      </w:pPr>
    </w:p>
    <w:p w14:paraId="78558B42" w14:textId="5BA3EE3D" w:rsidR="003345E9" w:rsidRPr="00EB023D" w:rsidRDefault="003345E9" w:rsidP="00E70493">
      <w:pPr>
        <w:jc w:val="both"/>
      </w:pPr>
      <w:r w:rsidRPr="00EB023D">
        <w:rPr>
          <w:rStyle w:val="Subst"/>
          <w:bCs/>
          <w:iCs/>
        </w:rPr>
        <w:lastRenderedPageBreak/>
        <w:t>Группа состоит из ПАО</w:t>
      </w:r>
      <w:r w:rsidR="008C43D6" w:rsidRPr="00EB023D">
        <w:rPr>
          <w:rStyle w:val="Subst"/>
          <w:bCs/>
          <w:iCs/>
        </w:rPr>
        <w:t xml:space="preserve"> «</w:t>
      </w:r>
      <w:r w:rsidRPr="00EB023D">
        <w:rPr>
          <w:rStyle w:val="Subst"/>
          <w:bCs/>
          <w:iCs/>
        </w:rPr>
        <w:t>Казаньоргсинтез</w:t>
      </w:r>
      <w:r w:rsidR="008C43D6" w:rsidRPr="00EB023D">
        <w:rPr>
          <w:rStyle w:val="Subst"/>
          <w:bCs/>
          <w:iCs/>
        </w:rPr>
        <w:t xml:space="preserve">» </w:t>
      </w:r>
      <w:r w:rsidRPr="00EB023D">
        <w:rPr>
          <w:rStyle w:val="Subst"/>
          <w:bCs/>
          <w:iCs/>
        </w:rPr>
        <w:t>и ООО</w:t>
      </w:r>
      <w:r w:rsidR="008C43D6" w:rsidRPr="00EB023D">
        <w:rPr>
          <w:rStyle w:val="Subst"/>
          <w:bCs/>
          <w:iCs/>
        </w:rPr>
        <w:t xml:space="preserve"> «</w:t>
      </w:r>
      <w:r w:rsidR="007B2FE1" w:rsidRPr="00EB023D">
        <w:rPr>
          <w:rStyle w:val="Subst"/>
          <w:bCs/>
          <w:iCs/>
        </w:rPr>
        <w:t>СИБУР-Инновации</w:t>
      </w:r>
      <w:r w:rsidR="008C43D6" w:rsidRPr="00EB023D">
        <w:rPr>
          <w:rStyle w:val="Subst"/>
          <w:bCs/>
          <w:iCs/>
        </w:rPr>
        <w:t xml:space="preserve">» </w:t>
      </w:r>
      <w:r w:rsidR="005203CE" w:rsidRPr="00EB023D">
        <w:rPr>
          <w:rStyle w:val="Subst"/>
          <w:bCs/>
          <w:iCs/>
        </w:rPr>
        <w:t>(далее</w:t>
      </w:r>
      <w:r w:rsidR="003C75F8" w:rsidRPr="00EB023D">
        <w:rPr>
          <w:rStyle w:val="Subst"/>
          <w:bCs/>
          <w:iCs/>
        </w:rPr>
        <w:t xml:space="preserve"> </w:t>
      </w:r>
      <w:r w:rsidR="005203CE" w:rsidRPr="00EB023D">
        <w:rPr>
          <w:rStyle w:val="Subst"/>
          <w:bCs/>
          <w:iCs/>
        </w:rPr>
        <w:t>-</w:t>
      </w:r>
      <w:r w:rsidR="003C75F8" w:rsidRPr="00EB023D">
        <w:rPr>
          <w:rStyle w:val="Subst"/>
          <w:bCs/>
          <w:iCs/>
        </w:rPr>
        <w:t xml:space="preserve"> </w:t>
      </w:r>
      <w:r w:rsidR="005203CE" w:rsidRPr="00EB023D">
        <w:rPr>
          <w:rStyle w:val="Subst"/>
          <w:bCs/>
          <w:iCs/>
        </w:rPr>
        <w:t>Группа), на ПАО</w:t>
      </w:r>
      <w:r w:rsidR="00791D9A" w:rsidRPr="00EB023D">
        <w:rPr>
          <w:rStyle w:val="Subst"/>
          <w:bCs/>
          <w:iCs/>
        </w:rPr>
        <w:t> </w:t>
      </w:r>
      <w:r w:rsidR="008C43D6" w:rsidRPr="00EB023D">
        <w:rPr>
          <w:rStyle w:val="Subst"/>
          <w:bCs/>
          <w:iCs/>
        </w:rPr>
        <w:t>«</w:t>
      </w:r>
      <w:r w:rsidRPr="00EB023D">
        <w:rPr>
          <w:rStyle w:val="Subst"/>
          <w:bCs/>
          <w:iCs/>
        </w:rPr>
        <w:t>Казаньоргсинтез</w:t>
      </w:r>
      <w:r w:rsidR="008C43D6" w:rsidRPr="00EB023D">
        <w:rPr>
          <w:rStyle w:val="Subst"/>
          <w:bCs/>
          <w:iCs/>
        </w:rPr>
        <w:t xml:space="preserve">» </w:t>
      </w:r>
      <w:r w:rsidRPr="00EB023D">
        <w:rPr>
          <w:rStyle w:val="Subst"/>
          <w:bCs/>
          <w:iCs/>
        </w:rPr>
        <w:t xml:space="preserve">приходится 99,99% консолидированной выручки </w:t>
      </w:r>
      <w:r w:rsidR="00332C08" w:rsidRPr="00EB023D">
        <w:rPr>
          <w:rStyle w:val="Subst"/>
          <w:bCs/>
          <w:iCs/>
        </w:rPr>
        <w:t>Г</w:t>
      </w:r>
      <w:r w:rsidRPr="00EB023D">
        <w:rPr>
          <w:rStyle w:val="Subst"/>
          <w:bCs/>
          <w:iCs/>
        </w:rPr>
        <w:t>руппы ПА</w:t>
      </w:r>
      <w:r w:rsidR="005203CE" w:rsidRPr="00EB023D">
        <w:rPr>
          <w:rStyle w:val="Subst"/>
          <w:bCs/>
          <w:iCs/>
        </w:rPr>
        <w:t>О</w:t>
      </w:r>
      <w:r w:rsidR="00791D9A" w:rsidRPr="00EB023D">
        <w:t> </w:t>
      </w:r>
      <w:r w:rsidR="008C43D6" w:rsidRPr="00EB023D">
        <w:t>«</w:t>
      </w:r>
      <w:r w:rsidRPr="00EB023D">
        <w:rPr>
          <w:rStyle w:val="Subst"/>
          <w:bCs/>
          <w:iCs/>
        </w:rPr>
        <w:t>Казаньоргсинтез».</w:t>
      </w:r>
    </w:p>
    <w:p w14:paraId="04CC50E6" w14:textId="77777777" w:rsidR="003345E9" w:rsidRPr="00EB023D" w:rsidRDefault="003345E9" w:rsidP="00E70493">
      <w:pPr>
        <w:jc w:val="both"/>
      </w:pPr>
      <w:r w:rsidRPr="00EB023D">
        <w:t>Общее число организаций, составляющих группу эмитента:</w:t>
      </w:r>
      <w:r w:rsidRPr="00EB023D">
        <w:rPr>
          <w:rStyle w:val="Subst"/>
          <w:bCs/>
          <w:iCs/>
        </w:rPr>
        <w:t xml:space="preserve"> 2</w:t>
      </w:r>
    </w:p>
    <w:p w14:paraId="2D484D04" w14:textId="7BC497B3" w:rsidR="00E21FCE" w:rsidRPr="00EB023D" w:rsidRDefault="003345E9" w:rsidP="00E70493">
      <w:pPr>
        <w:jc w:val="both"/>
        <w:rPr>
          <w:rStyle w:val="Subst"/>
          <w:bCs/>
          <w:iCs/>
        </w:rPr>
      </w:pPr>
      <w:r w:rsidRPr="00EB023D">
        <w:t>Информация о личных законах организаций, входящих в группу эмитента:</w:t>
      </w:r>
      <w:r w:rsidR="00C612B1" w:rsidRPr="00EB023D">
        <w:t xml:space="preserve"> </w:t>
      </w:r>
      <w:r w:rsidR="00C347D4" w:rsidRPr="00EB023D">
        <w:rPr>
          <w:rStyle w:val="Subst"/>
          <w:bCs/>
          <w:iCs/>
        </w:rPr>
        <w:t>н</w:t>
      </w:r>
      <w:r w:rsidRPr="00EB023D">
        <w:rPr>
          <w:rStyle w:val="Subst"/>
          <w:bCs/>
          <w:iCs/>
        </w:rPr>
        <w:t xml:space="preserve">е </w:t>
      </w:r>
      <w:r w:rsidR="00332C08" w:rsidRPr="00EB023D">
        <w:rPr>
          <w:rStyle w:val="Subst"/>
          <w:bCs/>
          <w:iCs/>
        </w:rPr>
        <w:t>применимо в связи с тем, что в Г</w:t>
      </w:r>
      <w:r w:rsidRPr="00EB023D">
        <w:rPr>
          <w:rStyle w:val="Subst"/>
          <w:bCs/>
          <w:iCs/>
        </w:rPr>
        <w:t xml:space="preserve">руппу </w:t>
      </w:r>
      <w:r w:rsidR="00652D62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митента не входят организации – нерезиденты.</w:t>
      </w:r>
    </w:p>
    <w:p w14:paraId="49BF548A" w14:textId="3F575FC7" w:rsidR="003345E9" w:rsidRPr="00EB023D" w:rsidRDefault="003345E9" w:rsidP="00E70493">
      <w:pPr>
        <w:jc w:val="both"/>
      </w:pPr>
      <w:r w:rsidRPr="00EB023D">
        <w:t>Иные ограничения, связанные с участием в уставном капитале эмитента, установленные его уставом</w:t>
      </w:r>
      <w:r w:rsidR="00C612B1" w:rsidRPr="00EB023D">
        <w:t xml:space="preserve">: </w:t>
      </w:r>
      <w:r w:rsidR="00C612B1" w:rsidRPr="00EB023D">
        <w:rPr>
          <w:rStyle w:val="Subst"/>
          <w:bCs/>
          <w:iCs/>
        </w:rPr>
        <w:t>о</w:t>
      </w:r>
      <w:r w:rsidRPr="00EB023D">
        <w:rPr>
          <w:rStyle w:val="Subst"/>
          <w:bCs/>
          <w:iCs/>
        </w:rPr>
        <w:t xml:space="preserve">граничений на участие в уставном капитале </w:t>
      </w:r>
      <w:r w:rsidR="00652D62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митента нет</w:t>
      </w:r>
      <w:r w:rsidR="00742637" w:rsidRPr="00EB023D">
        <w:rPr>
          <w:rStyle w:val="Subst"/>
          <w:bCs/>
          <w:iCs/>
        </w:rPr>
        <w:t>.</w:t>
      </w:r>
    </w:p>
    <w:p w14:paraId="4C1B13EA" w14:textId="77777777" w:rsidR="003345E9" w:rsidRPr="00EB023D" w:rsidRDefault="003345E9" w:rsidP="00E70493">
      <w:pPr>
        <w:jc w:val="both"/>
      </w:pPr>
      <w:r w:rsidRPr="00EB023D">
        <w:t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</w:t>
      </w:r>
      <w:r w:rsidR="00C612B1" w:rsidRPr="00EB023D">
        <w:t xml:space="preserve">: </w:t>
      </w:r>
      <w:r w:rsidRPr="00EB023D">
        <w:rPr>
          <w:rStyle w:val="Subst"/>
          <w:bCs/>
          <w:iCs/>
        </w:rPr>
        <w:t>отсутствует.</w:t>
      </w:r>
    </w:p>
    <w:p w14:paraId="45D7D36C" w14:textId="77777777" w:rsidR="003345E9" w:rsidRPr="00EB023D" w:rsidRDefault="003345E9" w:rsidP="00554B3C">
      <w:pPr>
        <w:pStyle w:val="2"/>
        <w:jc w:val="both"/>
      </w:pPr>
      <w:bookmarkStart w:id="4" w:name="_Toc164444086"/>
      <w:r w:rsidRPr="00EB023D">
        <w:t>1.2. Сведения о положении эмитента в отрасли</w:t>
      </w:r>
      <w:bookmarkEnd w:id="4"/>
    </w:p>
    <w:p w14:paraId="7A4AC739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Нефтехимическая отрасль российского и мирового рынка в целом характеризуется высоким уровнем конкуренции ввиду достаточного объема мощностей для производства. В рамках повышения конкурентоспособности продукции и в соответствии с основными тенденциями отрасли ПАО «Казаньоргсинтез» производит продукцию, отвечающую требованиям стандартов качества, а также активно взаимодействует с клиентами для увеличения эффективности реализация продукции.</w:t>
      </w:r>
    </w:p>
    <w:p w14:paraId="21C9BFCF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Основными внешними факторами, оказавшими влияние на реализацию продукции в 2023 г., являются:</w:t>
      </w:r>
    </w:p>
    <w:p w14:paraId="53D02377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 xml:space="preserve">- замедление глобальной экономики после импульса </w:t>
      </w:r>
      <w:proofErr w:type="spellStart"/>
      <w:r w:rsidRPr="00EB023D">
        <w:rPr>
          <w:rStyle w:val="Subst"/>
        </w:rPr>
        <w:t>постковидного</w:t>
      </w:r>
      <w:proofErr w:type="spellEnd"/>
      <w:r w:rsidRPr="00EB023D">
        <w:rPr>
          <w:rStyle w:val="Subst"/>
        </w:rPr>
        <w:t xml:space="preserve"> восстановления (2021–2022 гг.);</w:t>
      </w:r>
    </w:p>
    <w:p w14:paraId="72ED8011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- изменение мировых котировок на нефть с последующей корреляцией продуктов ее переработки;</w:t>
      </w:r>
    </w:p>
    <w:p w14:paraId="1C570556" w14:textId="77777777" w:rsidR="000F4538" w:rsidRPr="00EB023D" w:rsidRDefault="000F4538" w:rsidP="000F4538">
      <w:pPr>
        <w:jc w:val="both"/>
        <w:rPr>
          <w:b/>
          <w:i/>
        </w:rPr>
      </w:pPr>
      <w:r w:rsidRPr="00EB023D">
        <w:rPr>
          <w:rStyle w:val="Subst"/>
        </w:rPr>
        <w:t xml:space="preserve">- </w:t>
      </w:r>
      <w:r w:rsidRPr="00EB023D">
        <w:rPr>
          <w:b/>
          <w:i/>
        </w:rPr>
        <w:t>переизбыток предложения по абсолютному большинству нефтехимических производственных цепочек и умеренная динамика спроса сдерживали рост цен;</w:t>
      </w:r>
    </w:p>
    <w:p w14:paraId="51748324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b/>
          <w:i/>
        </w:rPr>
        <w:t>- рост российской экономики, где расширение внутреннего спроса последовательно ускорялось при поддержке бюджетного и кредитного импульсов;</w:t>
      </w:r>
    </w:p>
    <w:p w14:paraId="7DD7E02E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- волатильность валют.</w:t>
      </w:r>
    </w:p>
    <w:p w14:paraId="5DC03853" w14:textId="77777777" w:rsidR="000F4538" w:rsidRPr="00EB023D" w:rsidRDefault="000F4538" w:rsidP="000F4538">
      <w:pPr>
        <w:jc w:val="both"/>
        <w:rPr>
          <w:rStyle w:val="Subst"/>
          <w:bCs/>
          <w:iCs/>
        </w:rPr>
      </w:pPr>
    </w:p>
    <w:p w14:paraId="323DAC7C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Факторы, влияющие на деятельность Эмитента:</w:t>
      </w:r>
    </w:p>
    <w:p w14:paraId="030ECCD8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 xml:space="preserve">1.Изменение уровня потребления на продукцию нефтехимического сектора на внутреннем и внешнем рынках </w:t>
      </w:r>
    </w:p>
    <w:p w14:paraId="69D52BFE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b/>
          <w:bCs/>
          <w:i/>
        </w:rPr>
        <w:t xml:space="preserve">Глобальная экономика продолжила замедление </w:t>
      </w:r>
      <w:r w:rsidRPr="00EB023D">
        <w:rPr>
          <w:b/>
          <w:i/>
        </w:rPr>
        <w:t xml:space="preserve">после импульса </w:t>
      </w:r>
      <w:proofErr w:type="spellStart"/>
      <w:r w:rsidRPr="00EB023D">
        <w:rPr>
          <w:b/>
          <w:i/>
        </w:rPr>
        <w:t>постковидного</w:t>
      </w:r>
      <w:proofErr w:type="spellEnd"/>
      <w:r w:rsidRPr="00EB023D">
        <w:rPr>
          <w:b/>
          <w:i/>
        </w:rPr>
        <w:t xml:space="preserve"> восстановления (2021–2022 гг.), снизив темпы роста с 3% до 2,6% по итогам 2023 г</w:t>
      </w:r>
      <w:r w:rsidRPr="00EB023D">
        <w:rPr>
          <w:rStyle w:val="Subst"/>
        </w:rPr>
        <w:t xml:space="preserve">. </w:t>
      </w:r>
      <w:r w:rsidRPr="00EB023D">
        <w:rPr>
          <w:b/>
          <w:i/>
        </w:rPr>
        <w:t xml:space="preserve">Мировой и азиатский </w:t>
      </w:r>
      <w:r w:rsidRPr="00EB023D">
        <w:rPr>
          <w:b/>
          <w:bCs/>
          <w:i/>
        </w:rPr>
        <w:t xml:space="preserve">рынки нефтехимической продукции продолжали находиться в крайне депрессивном состоянии </w:t>
      </w:r>
      <w:r w:rsidRPr="00EB023D">
        <w:rPr>
          <w:b/>
          <w:i/>
        </w:rPr>
        <w:t>из-за переизбытка предложения по абсолютному большинству производственных цепочек. Для рынка Азии, где запускались основные новые крупные мощности, характерно наибольшее давление.</w:t>
      </w:r>
    </w:p>
    <w:p w14:paraId="3205B1F4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2.Влияние основных изменений текущей конъюнктуры внутреннего рынка:</w:t>
      </w:r>
    </w:p>
    <w:p w14:paraId="1F889FBB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- изменение сырьевых котировок;</w:t>
      </w:r>
    </w:p>
    <w:p w14:paraId="5764845A" w14:textId="4B42C390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- ввод крупного объема мощностей конкурентов на мировы</w:t>
      </w:r>
      <w:r w:rsidR="006C5260">
        <w:rPr>
          <w:rStyle w:val="Subst"/>
        </w:rPr>
        <w:t>х рынках основной продукции ПАО </w:t>
      </w:r>
      <w:r w:rsidRPr="00EB023D">
        <w:rPr>
          <w:rStyle w:val="Subst"/>
        </w:rPr>
        <w:t>«Казаньоргсинтез».</w:t>
      </w:r>
    </w:p>
    <w:p w14:paraId="46364C1C" w14:textId="77777777" w:rsidR="000F4538" w:rsidRPr="00EB023D" w:rsidRDefault="000F4538" w:rsidP="000F4538">
      <w:pPr>
        <w:jc w:val="both"/>
        <w:rPr>
          <w:rStyle w:val="Subst"/>
          <w:bCs/>
          <w:iCs/>
        </w:rPr>
      </w:pPr>
      <w:r w:rsidRPr="00EB023D">
        <w:rPr>
          <w:rStyle w:val="Subst"/>
        </w:rPr>
        <w:t>3.Влияние прочих факторов на рынок нефтехимической продукции</w:t>
      </w:r>
    </w:p>
    <w:p w14:paraId="2C1298BA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 xml:space="preserve">Цены на нефть в 2023 году отличались высокой волатильностью, но в целом демонстрировали тенденцию к снижению. Цена снизилась с 82,8 доллара США за баррель в среднем за январь до минимума за месяц 74,7 доллара США за баррель в июне, затем последовал рост до уровня выше 90 долларов США за баррель в третьем квартале и снова снижение до уровня около 80 долларов США за баррель в последние месяцы года. Изменение нефтяных котировок оказало соответствующее влияние на уровень цен продуктов нефтепереработки и органического синтеза. </w:t>
      </w:r>
    </w:p>
    <w:p w14:paraId="6079E724" w14:textId="77777777" w:rsidR="000F4538" w:rsidRPr="00EB023D" w:rsidRDefault="000F4538" w:rsidP="000F4538">
      <w:pPr>
        <w:jc w:val="both"/>
        <w:rPr>
          <w:rStyle w:val="Subst"/>
          <w:bCs/>
          <w:iCs/>
        </w:rPr>
      </w:pPr>
    </w:p>
    <w:p w14:paraId="3FA54C89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Факторы конкурентоспособности (степень влияния):</w:t>
      </w:r>
    </w:p>
    <w:p w14:paraId="4375F24B" w14:textId="3B9F8413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 xml:space="preserve">1. </w:t>
      </w:r>
      <w:r w:rsidR="004B014E" w:rsidRPr="009C0487">
        <w:rPr>
          <w:rStyle w:val="Subst"/>
        </w:rPr>
        <w:t>Положение ПАО «Казаньоргсинтез» как одной из крупнейших компаний на рынке нефтехимической продукции в России</w:t>
      </w:r>
      <w:r w:rsidRPr="00EB023D">
        <w:rPr>
          <w:rStyle w:val="Subst"/>
        </w:rPr>
        <w:t xml:space="preserve">, объединение компаний </w:t>
      </w:r>
      <w:r w:rsidR="006C5260">
        <w:rPr>
          <w:rStyle w:val="Subst"/>
        </w:rPr>
        <w:t>СИБУР</w:t>
      </w:r>
      <w:r w:rsidRPr="00EB023D">
        <w:rPr>
          <w:rStyle w:val="Subst"/>
        </w:rPr>
        <w:t xml:space="preserve"> и </w:t>
      </w:r>
      <w:r w:rsidR="006C5260">
        <w:rPr>
          <w:rStyle w:val="Subst"/>
        </w:rPr>
        <w:t>ТАИФ</w:t>
      </w:r>
      <w:r w:rsidRPr="00EB023D">
        <w:rPr>
          <w:rStyle w:val="Subst"/>
        </w:rPr>
        <w:t xml:space="preserve"> (изменение наименования АО «ТАИФ» на АО «СИБУР-РТ», ГРН 2221600482530 от 18.04.2022). Единственн</w:t>
      </w:r>
      <w:r w:rsidR="00134CFC">
        <w:rPr>
          <w:rStyle w:val="Subst"/>
        </w:rPr>
        <w:t xml:space="preserve">ая </w:t>
      </w:r>
      <w:r w:rsidR="00134CFC">
        <w:rPr>
          <w:rStyle w:val="Subst"/>
        </w:rPr>
        <w:lastRenderedPageBreak/>
        <w:t xml:space="preserve">компания </w:t>
      </w:r>
      <w:r w:rsidRPr="00EB023D">
        <w:rPr>
          <w:rStyle w:val="Subst"/>
        </w:rPr>
        <w:t>в СНГ, выпускающее гран</w:t>
      </w:r>
      <w:r w:rsidR="00134CFC">
        <w:rPr>
          <w:rStyle w:val="Subst"/>
        </w:rPr>
        <w:t>улированный поликарбонат. Вторая</w:t>
      </w:r>
      <w:r w:rsidRPr="00EB023D">
        <w:rPr>
          <w:rStyle w:val="Subst"/>
        </w:rPr>
        <w:t xml:space="preserve"> на территории СНГ </w:t>
      </w:r>
      <w:r w:rsidR="00134CFC">
        <w:rPr>
          <w:rStyle w:val="Subst"/>
        </w:rPr>
        <w:t>компания</w:t>
      </w:r>
      <w:r w:rsidRPr="00EB023D">
        <w:rPr>
          <w:rStyle w:val="Subst"/>
        </w:rPr>
        <w:t xml:space="preserve"> по объему выпуска полиэтилена высокого и низкого давления (высокая).</w:t>
      </w:r>
    </w:p>
    <w:p w14:paraId="1EDD0EE0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2. Внедрение современных технологий (высокая).</w:t>
      </w:r>
    </w:p>
    <w:p w14:paraId="219062DF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3. Гибкость производства за счет расширения номенклатурных групп продукции и глубины ассортимента в зависимости от рыночного спроса (высокая).</w:t>
      </w:r>
    </w:p>
    <w:p w14:paraId="3B2DC108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4. Наличие высококвалифицированного и опытного персонала (высокая).</w:t>
      </w:r>
    </w:p>
    <w:p w14:paraId="65531656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5. Высокое качество производимой продукции (высокая).</w:t>
      </w:r>
    </w:p>
    <w:p w14:paraId="3F8CD78E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6. Выгодное географическое положение (средняя).</w:t>
      </w:r>
    </w:p>
    <w:p w14:paraId="19363529" w14:textId="77777777" w:rsidR="000F4538" w:rsidRPr="00EB023D" w:rsidRDefault="000F4538" w:rsidP="000F4538">
      <w:pPr>
        <w:jc w:val="both"/>
        <w:rPr>
          <w:rStyle w:val="Subst"/>
          <w:bCs/>
          <w:iCs/>
        </w:rPr>
      </w:pPr>
    </w:p>
    <w:p w14:paraId="19AB5810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Эмитент оценивает полученные результаты деятельности как соответствующие тенденциям развития отрасли.</w:t>
      </w:r>
    </w:p>
    <w:p w14:paraId="5D5E2E0F" w14:textId="77777777" w:rsidR="000F4538" w:rsidRPr="00EB023D" w:rsidRDefault="000F4538" w:rsidP="000F4538">
      <w:pPr>
        <w:jc w:val="both"/>
        <w:rPr>
          <w:rStyle w:val="Subst"/>
          <w:bCs/>
          <w:iCs/>
        </w:rPr>
      </w:pPr>
    </w:p>
    <w:p w14:paraId="0119E3E6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Основные конкуренты Эмитента:</w:t>
      </w:r>
    </w:p>
    <w:p w14:paraId="594897FD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Россия</w:t>
      </w:r>
    </w:p>
    <w:p w14:paraId="50FBAFE9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ПАО «Уфаоргсинтез», ООО «Ангарский завод полимеров», ООО «</w:t>
      </w:r>
      <w:proofErr w:type="spellStart"/>
      <w:r w:rsidRPr="00EB023D">
        <w:rPr>
          <w:rStyle w:val="Subst"/>
        </w:rPr>
        <w:t>Ставролен</w:t>
      </w:r>
      <w:proofErr w:type="spellEnd"/>
      <w:r w:rsidRPr="00EB023D">
        <w:rPr>
          <w:rStyle w:val="Subst"/>
        </w:rPr>
        <w:t xml:space="preserve">», ООО «Газпром </w:t>
      </w:r>
      <w:proofErr w:type="spellStart"/>
      <w:r w:rsidRPr="00EB023D">
        <w:rPr>
          <w:rStyle w:val="Subst"/>
        </w:rPr>
        <w:t>нефтехим</w:t>
      </w:r>
      <w:proofErr w:type="spellEnd"/>
      <w:r w:rsidRPr="00EB023D">
        <w:rPr>
          <w:rStyle w:val="Subst"/>
        </w:rPr>
        <w:t xml:space="preserve"> Салават», ГК «</w:t>
      </w:r>
      <w:proofErr w:type="spellStart"/>
      <w:r w:rsidRPr="00EB023D">
        <w:rPr>
          <w:rStyle w:val="Subst"/>
        </w:rPr>
        <w:t>Полипластик</w:t>
      </w:r>
      <w:proofErr w:type="spellEnd"/>
      <w:r w:rsidRPr="00EB023D">
        <w:rPr>
          <w:rStyle w:val="Subst"/>
        </w:rPr>
        <w:t>», ООО «</w:t>
      </w:r>
      <w:proofErr w:type="spellStart"/>
      <w:r w:rsidRPr="00EB023D">
        <w:rPr>
          <w:rStyle w:val="Subst"/>
        </w:rPr>
        <w:t>Техстрой</w:t>
      </w:r>
      <w:proofErr w:type="spellEnd"/>
      <w:r w:rsidRPr="00EB023D">
        <w:rPr>
          <w:rStyle w:val="Subst"/>
        </w:rPr>
        <w:t>», ГК «Синтез-Ока», ПАО «Омский каучук», ООО «</w:t>
      </w:r>
      <w:proofErr w:type="spellStart"/>
      <w:r w:rsidRPr="00EB023D">
        <w:rPr>
          <w:rStyle w:val="Subst"/>
        </w:rPr>
        <w:t>Самараоргсинтез</w:t>
      </w:r>
      <w:proofErr w:type="spellEnd"/>
      <w:r w:rsidRPr="00EB023D">
        <w:rPr>
          <w:rStyle w:val="Subst"/>
        </w:rPr>
        <w:t xml:space="preserve">». </w:t>
      </w:r>
    </w:p>
    <w:p w14:paraId="62984B45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Ближнее Зарубежье</w:t>
      </w:r>
    </w:p>
    <w:p w14:paraId="078C76CD" w14:textId="1F4B2A26" w:rsidR="000F4538" w:rsidRPr="00EB023D" w:rsidRDefault="0082530E" w:rsidP="000F4538">
      <w:pPr>
        <w:jc w:val="both"/>
        <w:rPr>
          <w:rStyle w:val="Subst"/>
        </w:rPr>
      </w:pPr>
      <w:r>
        <w:rPr>
          <w:rStyle w:val="Subst"/>
        </w:rPr>
        <w:t>«</w:t>
      </w:r>
      <w:proofErr w:type="spellStart"/>
      <w:r>
        <w:rPr>
          <w:rStyle w:val="Subst"/>
        </w:rPr>
        <w:t>Полимир</w:t>
      </w:r>
      <w:proofErr w:type="spellEnd"/>
      <w:r>
        <w:rPr>
          <w:rStyle w:val="Subst"/>
        </w:rPr>
        <w:t>» (</w:t>
      </w:r>
      <w:r w:rsidR="000F4538" w:rsidRPr="00EB023D">
        <w:rPr>
          <w:rStyle w:val="Subst"/>
        </w:rPr>
        <w:t xml:space="preserve">Беларусь), «Уз-Кор Газ </w:t>
      </w:r>
      <w:proofErr w:type="spellStart"/>
      <w:r w:rsidR="000F4538" w:rsidRPr="00EB023D">
        <w:rPr>
          <w:rStyle w:val="Subst"/>
        </w:rPr>
        <w:t>Кемикал</w:t>
      </w:r>
      <w:proofErr w:type="spellEnd"/>
      <w:r w:rsidR="000F4538" w:rsidRPr="00EB023D">
        <w:rPr>
          <w:rStyle w:val="Subst"/>
        </w:rPr>
        <w:t>» (Узбекистан), «</w:t>
      </w:r>
      <w:proofErr w:type="spellStart"/>
      <w:r w:rsidR="000F4538" w:rsidRPr="00EB023D">
        <w:rPr>
          <w:rStyle w:val="Subst"/>
        </w:rPr>
        <w:t>Киянлынский</w:t>
      </w:r>
      <w:proofErr w:type="spellEnd"/>
      <w:r w:rsidR="000F4538" w:rsidRPr="00EB023D">
        <w:rPr>
          <w:rStyle w:val="Subst"/>
        </w:rPr>
        <w:t xml:space="preserve"> завод полимеров» (Туркменистан), «</w:t>
      </w:r>
      <w:proofErr w:type="spellStart"/>
      <w:r w:rsidR="000F4538" w:rsidRPr="00EB023D">
        <w:rPr>
          <w:rStyle w:val="Subst"/>
        </w:rPr>
        <w:t>Шуртанский</w:t>
      </w:r>
      <w:proofErr w:type="spellEnd"/>
      <w:r w:rsidR="000F4538" w:rsidRPr="00EB023D">
        <w:rPr>
          <w:rStyle w:val="Subst"/>
        </w:rPr>
        <w:t xml:space="preserve"> ГХК» (Узбекистан), «SOCAR </w:t>
      </w:r>
      <w:proofErr w:type="spellStart"/>
      <w:r w:rsidR="000F4538" w:rsidRPr="00EB023D">
        <w:rPr>
          <w:rStyle w:val="Subst"/>
        </w:rPr>
        <w:t>Polymer</w:t>
      </w:r>
      <w:proofErr w:type="spellEnd"/>
      <w:r w:rsidR="000F4538" w:rsidRPr="00EB023D">
        <w:rPr>
          <w:rStyle w:val="Subst"/>
        </w:rPr>
        <w:t>» (Азербайджан).</w:t>
      </w:r>
    </w:p>
    <w:p w14:paraId="32B65D0E" w14:textId="77777777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Наиболее крупные конкуренты на мировом рынке</w:t>
      </w:r>
    </w:p>
    <w:p w14:paraId="191CBFF9" w14:textId="32D01F64" w:rsidR="000F4538" w:rsidRPr="00EB023D" w:rsidRDefault="000F4538" w:rsidP="000F4538">
      <w:pPr>
        <w:jc w:val="both"/>
        <w:rPr>
          <w:rStyle w:val="Subst"/>
        </w:rPr>
      </w:pPr>
      <w:r w:rsidRPr="00EB023D">
        <w:rPr>
          <w:rStyle w:val="Subst"/>
        </w:rPr>
        <w:t>«</w:t>
      </w:r>
      <w:proofErr w:type="spellStart"/>
      <w:r w:rsidRPr="00EB023D">
        <w:rPr>
          <w:rStyle w:val="Subst"/>
        </w:rPr>
        <w:t>Formosa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Plastics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Group</w:t>
      </w:r>
      <w:proofErr w:type="spellEnd"/>
      <w:r w:rsidRPr="00EB023D">
        <w:rPr>
          <w:rStyle w:val="Subst"/>
        </w:rPr>
        <w:t xml:space="preserve">» (Тайвань), «SABIC» (Саудовская Аравия), «LG </w:t>
      </w:r>
      <w:proofErr w:type="spellStart"/>
      <w:r w:rsidRPr="00EB023D">
        <w:rPr>
          <w:rStyle w:val="Subst"/>
        </w:rPr>
        <w:t>Chem</w:t>
      </w:r>
      <w:proofErr w:type="spellEnd"/>
      <w:r w:rsidRPr="00EB023D">
        <w:rPr>
          <w:rStyle w:val="Subst"/>
        </w:rPr>
        <w:t>», «</w:t>
      </w:r>
      <w:proofErr w:type="spellStart"/>
      <w:r w:rsidRPr="00EB023D">
        <w:rPr>
          <w:rStyle w:val="Subst"/>
        </w:rPr>
        <w:t>Lotte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Chemical</w:t>
      </w:r>
      <w:proofErr w:type="spellEnd"/>
      <w:r w:rsidRPr="00EB023D">
        <w:rPr>
          <w:rStyle w:val="Subst"/>
        </w:rPr>
        <w:t>», «</w:t>
      </w:r>
      <w:proofErr w:type="spellStart"/>
      <w:r w:rsidRPr="00EB023D">
        <w:rPr>
          <w:rStyle w:val="Subst"/>
        </w:rPr>
        <w:t>Daelim</w:t>
      </w:r>
      <w:proofErr w:type="spellEnd"/>
      <w:r w:rsidRPr="00EB023D">
        <w:rPr>
          <w:rStyle w:val="Subst"/>
        </w:rPr>
        <w:t>», «</w:t>
      </w:r>
      <w:proofErr w:type="spellStart"/>
      <w:r w:rsidRPr="00EB023D">
        <w:rPr>
          <w:rStyle w:val="Subst"/>
        </w:rPr>
        <w:t>Hanwha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Corp</w:t>
      </w:r>
      <w:proofErr w:type="spellEnd"/>
      <w:r w:rsidRPr="00EB023D">
        <w:rPr>
          <w:rStyle w:val="Subst"/>
        </w:rPr>
        <w:t>» «</w:t>
      </w:r>
      <w:proofErr w:type="spellStart"/>
      <w:r w:rsidRPr="00EB023D">
        <w:rPr>
          <w:rStyle w:val="Subst"/>
        </w:rPr>
        <w:t>Hyundai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Petrochemical</w:t>
      </w:r>
      <w:proofErr w:type="spellEnd"/>
      <w:r w:rsidRPr="00EB023D">
        <w:rPr>
          <w:rStyle w:val="Subst"/>
        </w:rPr>
        <w:t>» и «</w:t>
      </w:r>
      <w:proofErr w:type="spellStart"/>
      <w:r w:rsidRPr="00EB023D">
        <w:rPr>
          <w:rStyle w:val="Subst"/>
        </w:rPr>
        <w:t>Korea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Petrochemical</w:t>
      </w:r>
      <w:proofErr w:type="spellEnd"/>
      <w:r w:rsidRPr="00EB023D">
        <w:rPr>
          <w:rStyle w:val="Subst"/>
        </w:rPr>
        <w:t>» (Южная Корея), «</w:t>
      </w:r>
      <w:proofErr w:type="spellStart"/>
      <w:r w:rsidRPr="00EB023D">
        <w:rPr>
          <w:rStyle w:val="Subst"/>
        </w:rPr>
        <w:t>Sinopec</w:t>
      </w:r>
      <w:proofErr w:type="spellEnd"/>
      <w:r w:rsidRPr="00EB023D">
        <w:rPr>
          <w:rStyle w:val="Subst"/>
        </w:rPr>
        <w:t>», «</w:t>
      </w:r>
      <w:proofErr w:type="spellStart"/>
      <w:r w:rsidRPr="00EB023D">
        <w:rPr>
          <w:rStyle w:val="Subst"/>
        </w:rPr>
        <w:t>Qingdao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Haijing</w:t>
      </w:r>
      <w:proofErr w:type="spellEnd"/>
      <w:r w:rsidRPr="00EB023D">
        <w:rPr>
          <w:rStyle w:val="Subst"/>
        </w:rPr>
        <w:t xml:space="preserve"> </w:t>
      </w:r>
      <w:proofErr w:type="spellStart"/>
      <w:r w:rsidRPr="00EB023D">
        <w:rPr>
          <w:rStyle w:val="Subst"/>
        </w:rPr>
        <w:t>Chemical</w:t>
      </w:r>
      <w:proofErr w:type="spellEnd"/>
      <w:r w:rsidRPr="00EB023D">
        <w:rPr>
          <w:rStyle w:val="Subst"/>
        </w:rPr>
        <w:t xml:space="preserve">» (Китай), «SCG </w:t>
      </w:r>
      <w:proofErr w:type="spellStart"/>
      <w:r w:rsidRPr="00EB023D">
        <w:rPr>
          <w:rStyle w:val="Subst"/>
        </w:rPr>
        <w:t>Chemicals</w:t>
      </w:r>
      <w:proofErr w:type="spellEnd"/>
      <w:r w:rsidRPr="00EB023D">
        <w:rPr>
          <w:rStyle w:val="Subst"/>
        </w:rPr>
        <w:t>» (Тайланд).</w:t>
      </w:r>
    </w:p>
    <w:p w14:paraId="1AF49780" w14:textId="77777777" w:rsidR="00B54AB3" w:rsidRPr="00EB023D" w:rsidRDefault="00B54AB3" w:rsidP="00E70493">
      <w:pPr>
        <w:jc w:val="both"/>
      </w:pPr>
    </w:p>
    <w:p w14:paraId="042F8A99" w14:textId="268EEAAA" w:rsidR="003345E9" w:rsidRDefault="003345E9" w:rsidP="00554B3C">
      <w:pPr>
        <w:pStyle w:val="2"/>
        <w:jc w:val="both"/>
      </w:pPr>
      <w:bookmarkStart w:id="5" w:name="_Toc164444087"/>
      <w:r w:rsidRPr="00EB023D">
        <w:t>1.3. Основные операционные показатели, характеризующие деятельность эмитента</w:t>
      </w:r>
      <w:bookmarkEnd w:id="5"/>
    </w:p>
    <w:p w14:paraId="53CD4770" w14:textId="77777777" w:rsidR="00753D8E" w:rsidRPr="00753D8E" w:rsidRDefault="00753D8E" w:rsidP="00753D8E"/>
    <w:tbl>
      <w:tblPr>
        <w:tblW w:w="90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1895"/>
        <w:gridCol w:w="1775"/>
        <w:gridCol w:w="1832"/>
      </w:tblGrid>
      <w:tr w:rsidR="00753D8E" w:rsidRPr="00EB023D" w14:paraId="743B1773" w14:textId="77777777" w:rsidTr="00753D8E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7670A4" w14:textId="77777777" w:rsidR="00324ED2" w:rsidRPr="00EB023D" w:rsidRDefault="00324ED2" w:rsidP="00A91214">
            <w:pPr>
              <w:spacing w:line="252" w:lineRule="auto"/>
              <w:jc w:val="center"/>
              <w:rPr>
                <w:b/>
                <w:bCs/>
              </w:rPr>
            </w:pPr>
            <w:r w:rsidRPr="00EB023D">
              <w:rPr>
                <w:b/>
                <w:bCs/>
              </w:rPr>
              <w:t>Наименование показателя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CC0525" w14:textId="77777777" w:rsidR="00324ED2" w:rsidRPr="00EB023D" w:rsidRDefault="00324ED2" w:rsidP="00A91214">
            <w:pPr>
              <w:spacing w:line="252" w:lineRule="auto"/>
              <w:jc w:val="center"/>
              <w:rPr>
                <w:b/>
                <w:bCs/>
              </w:rPr>
            </w:pPr>
            <w:r w:rsidRPr="00EB023D">
              <w:rPr>
                <w:b/>
                <w:bCs/>
              </w:rPr>
              <w:t>Единица измерения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9EE0D71" w14:textId="77777777" w:rsidR="00324ED2" w:rsidRPr="00EB023D" w:rsidRDefault="00324ED2" w:rsidP="00A91214">
            <w:pPr>
              <w:spacing w:line="252" w:lineRule="auto"/>
              <w:jc w:val="center"/>
              <w:rPr>
                <w:b/>
                <w:bCs/>
              </w:rPr>
            </w:pPr>
            <w:r w:rsidRPr="00EB023D">
              <w:rPr>
                <w:b/>
                <w:bCs/>
              </w:rPr>
              <w:t xml:space="preserve">За 12 месяцев </w:t>
            </w:r>
          </w:p>
          <w:p w14:paraId="1C86A050" w14:textId="77777777" w:rsidR="00324ED2" w:rsidRPr="00EB023D" w:rsidRDefault="00324ED2" w:rsidP="00A91214">
            <w:pPr>
              <w:spacing w:line="252" w:lineRule="auto"/>
              <w:jc w:val="center"/>
              <w:rPr>
                <w:b/>
                <w:bCs/>
              </w:rPr>
            </w:pPr>
            <w:r w:rsidRPr="00EB023D">
              <w:rPr>
                <w:b/>
                <w:bCs/>
              </w:rPr>
              <w:t>2023 года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3C0E4FE" w14:textId="77777777" w:rsidR="00324ED2" w:rsidRPr="00EB023D" w:rsidRDefault="00324ED2" w:rsidP="00A91214">
            <w:pPr>
              <w:spacing w:line="252" w:lineRule="auto"/>
              <w:jc w:val="center"/>
              <w:rPr>
                <w:b/>
                <w:bCs/>
              </w:rPr>
            </w:pPr>
            <w:r w:rsidRPr="00EB023D">
              <w:rPr>
                <w:b/>
                <w:bCs/>
              </w:rPr>
              <w:t xml:space="preserve">За 12 месяцев </w:t>
            </w:r>
          </w:p>
          <w:p w14:paraId="4A1DCC80" w14:textId="77777777" w:rsidR="00324ED2" w:rsidRPr="00EB023D" w:rsidRDefault="00324ED2" w:rsidP="00A91214">
            <w:pPr>
              <w:spacing w:line="252" w:lineRule="auto"/>
              <w:jc w:val="center"/>
              <w:rPr>
                <w:b/>
                <w:bCs/>
              </w:rPr>
            </w:pPr>
            <w:r w:rsidRPr="00EB023D">
              <w:rPr>
                <w:b/>
                <w:bCs/>
              </w:rPr>
              <w:t>2022 года</w:t>
            </w:r>
          </w:p>
        </w:tc>
      </w:tr>
      <w:tr w:rsidR="00753D8E" w:rsidRPr="00EB023D" w14:paraId="12D7E9CA" w14:textId="77777777" w:rsidTr="00753D8E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FF8586" w14:textId="77777777" w:rsidR="00324ED2" w:rsidRPr="00EB023D" w:rsidRDefault="00324ED2" w:rsidP="00A91214">
            <w:pPr>
              <w:spacing w:line="252" w:lineRule="auto"/>
              <w:jc w:val="both"/>
            </w:pPr>
            <w:r w:rsidRPr="00EB023D">
              <w:t xml:space="preserve">Переработка </w:t>
            </w:r>
            <w:proofErr w:type="spellStart"/>
            <w:r w:rsidRPr="00EB023D">
              <w:t>этановой</w:t>
            </w:r>
            <w:proofErr w:type="spellEnd"/>
            <w:r w:rsidRPr="00EB023D">
              <w:t xml:space="preserve"> фракции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AB22B23" w14:textId="77777777" w:rsidR="00324ED2" w:rsidRPr="00EB023D" w:rsidRDefault="00324ED2" w:rsidP="00753D8E">
            <w:pPr>
              <w:spacing w:line="252" w:lineRule="auto"/>
              <w:jc w:val="center"/>
            </w:pPr>
            <w:proofErr w:type="spellStart"/>
            <w:r w:rsidRPr="00EB023D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2DC62B" w14:textId="57B0DE46" w:rsidR="00324ED2" w:rsidRPr="00EB023D" w:rsidRDefault="00324ED2" w:rsidP="008D44EB">
            <w:pPr>
              <w:spacing w:line="252" w:lineRule="auto"/>
              <w:jc w:val="center"/>
            </w:pPr>
            <w:r w:rsidRPr="00EB023D">
              <w:t xml:space="preserve"> 528,</w:t>
            </w:r>
            <w:r w:rsidR="008D44EB" w:rsidRPr="00EB023D">
              <w:t>2</w:t>
            </w:r>
            <w:r w:rsidRPr="00EB023D">
              <w:t xml:space="preserve"> 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181B31" w14:textId="11CFBFC4" w:rsidR="00324ED2" w:rsidRPr="00EB023D" w:rsidRDefault="008D44EB" w:rsidP="00A91214">
            <w:pPr>
              <w:spacing w:line="252" w:lineRule="auto"/>
              <w:jc w:val="center"/>
            </w:pPr>
            <w:r w:rsidRPr="00EB023D">
              <w:t xml:space="preserve"> 542,8</w:t>
            </w:r>
          </w:p>
        </w:tc>
      </w:tr>
      <w:tr w:rsidR="00753D8E" w:rsidRPr="00EB023D" w14:paraId="43972D8A" w14:textId="77777777" w:rsidTr="00753D8E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030ACB3" w14:textId="77777777" w:rsidR="00324ED2" w:rsidRPr="00EB023D" w:rsidRDefault="00324ED2" w:rsidP="00A91214">
            <w:pPr>
              <w:spacing w:line="252" w:lineRule="auto"/>
            </w:pPr>
            <w:r w:rsidRPr="00EB023D">
              <w:t>Переработка сжиженного углеводородного газа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65DF8FC" w14:textId="77777777" w:rsidR="00324ED2" w:rsidRPr="00EB023D" w:rsidRDefault="00324ED2" w:rsidP="00753D8E">
            <w:pPr>
              <w:spacing w:line="252" w:lineRule="auto"/>
              <w:jc w:val="center"/>
            </w:pPr>
            <w:proofErr w:type="spellStart"/>
            <w:r w:rsidRPr="00EB023D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25D0F6" w14:textId="63729332" w:rsidR="00324ED2" w:rsidRPr="00EB023D" w:rsidRDefault="008D44EB" w:rsidP="00A91214">
            <w:pPr>
              <w:spacing w:line="252" w:lineRule="auto"/>
              <w:jc w:val="center"/>
            </w:pPr>
            <w:r w:rsidRPr="00EB023D">
              <w:t xml:space="preserve"> 396,4</w:t>
            </w:r>
            <w:r w:rsidR="00324ED2" w:rsidRPr="00EB023D">
              <w:t xml:space="preserve"> 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BCE476E" w14:textId="3FAF8D27" w:rsidR="00324ED2" w:rsidRPr="00EB023D" w:rsidRDefault="00324ED2" w:rsidP="008D44EB">
            <w:pPr>
              <w:spacing w:line="252" w:lineRule="auto"/>
              <w:jc w:val="center"/>
            </w:pPr>
            <w:r w:rsidRPr="00EB023D">
              <w:t xml:space="preserve"> 437,</w:t>
            </w:r>
            <w:r w:rsidR="008D44EB" w:rsidRPr="00EB023D">
              <w:t>4</w:t>
            </w:r>
          </w:p>
        </w:tc>
      </w:tr>
      <w:tr w:rsidR="00753D8E" w:rsidRPr="00EB023D" w14:paraId="589A4CE2" w14:textId="77777777" w:rsidTr="00753D8E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BAD429" w14:textId="77777777" w:rsidR="00324ED2" w:rsidRPr="00EB023D" w:rsidRDefault="00324ED2" w:rsidP="00A91214">
            <w:pPr>
              <w:spacing w:line="252" w:lineRule="auto"/>
              <w:jc w:val="both"/>
            </w:pPr>
            <w:r w:rsidRPr="00EB023D">
              <w:t>Переработка этилена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F69F83F" w14:textId="77777777" w:rsidR="00324ED2" w:rsidRPr="00EB023D" w:rsidRDefault="00324ED2" w:rsidP="00753D8E">
            <w:pPr>
              <w:spacing w:line="252" w:lineRule="auto"/>
              <w:jc w:val="center"/>
            </w:pPr>
            <w:proofErr w:type="spellStart"/>
            <w:r w:rsidRPr="00EB023D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654A14" w14:textId="64C4B098" w:rsidR="00324ED2" w:rsidRPr="00EB023D" w:rsidRDefault="00324ED2" w:rsidP="008D44EB">
            <w:pPr>
              <w:spacing w:line="252" w:lineRule="auto"/>
              <w:jc w:val="center"/>
            </w:pPr>
            <w:r w:rsidRPr="00EB023D">
              <w:t xml:space="preserve"> 100,</w:t>
            </w:r>
            <w:r w:rsidR="008D44EB" w:rsidRPr="00EB023D">
              <w:t>3</w:t>
            </w:r>
            <w:r w:rsidRPr="00EB023D">
              <w:t xml:space="preserve"> 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D795CA" w14:textId="6DD727A7" w:rsidR="00324ED2" w:rsidRPr="00EB023D" w:rsidRDefault="008D44EB" w:rsidP="00A91214">
            <w:pPr>
              <w:spacing w:line="252" w:lineRule="auto"/>
              <w:jc w:val="center"/>
            </w:pPr>
            <w:r w:rsidRPr="00EB023D">
              <w:t xml:space="preserve"> 128,1</w:t>
            </w:r>
          </w:p>
        </w:tc>
      </w:tr>
      <w:tr w:rsidR="00753D8E" w:rsidRPr="00EB023D" w14:paraId="169370F7" w14:textId="77777777" w:rsidTr="00753D8E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2846686" w14:textId="77777777" w:rsidR="00324ED2" w:rsidRPr="00EB023D" w:rsidRDefault="00324ED2" w:rsidP="00A91214">
            <w:pPr>
              <w:spacing w:line="252" w:lineRule="auto"/>
              <w:jc w:val="both"/>
            </w:pPr>
            <w:bookmarkStart w:id="6" w:name="_GoBack"/>
            <w:r w:rsidRPr="00EB023D">
              <w:t>Объемы продаж полиэтилена</w:t>
            </w:r>
            <w:bookmarkEnd w:id="6"/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5DF627" w14:textId="77777777" w:rsidR="00324ED2" w:rsidRPr="00EB023D" w:rsidRDefault="00324ED2" w:rsidP="00753D8E">
            <w:pPr>
              <w:spacing w:line="252" w:lineRule="auto"/>
              <w:jc w:val="center"/>
            </w:pPr>
            <w:proofErr w:type="spellStart"/>
            <w:r w:rsidRPr="00EB023D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B8F6FB" w14:textId="2F365BB4" w:rsidR="00324ED2" w:rsidRPr="00EB023D" w:rsidRDefault="00324ED2" w:rsidP="008D44EB">
            <w:pPr>
              <w:spacing w:line="252" w:lineRule="auto"/>
              <w:jc w:val="center"/>
            </w:pPr>
            <w:r w:rsidRPr="00EB023D">
              <w:t xml:space="preserve"> 641,</w:t>
            </w:r>
            <w:r w:rsidR="008D44EB" w:rsidRPr="00EB023D">
              <w:t>1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1E7D997" w14:textId="6030A485" w:rsidR="00324ED2" w:rsidRPr="00EB023D" w:rsidRDefault="008D44EB" w:rsidP="00A91214">
            <w:pPr>
              <w:spacing w:line="252" w:lineRule="auto"/>
              <w:jc w:val="center"/>
            </w:pPr>
            <w:r w:rsidRPr="00EB023D">
              <w:t xml:space="preserve"> 695,5</w:t>
            </w:r>
          </w:p>
        </w:tc>
      </w:tr>
      <w:tr w:rsidR="00753D8E" w:rsidRPr="00EB023D" w14:paraId="609B9641" w14:textId="77777777" w:rsidTr="00753D8E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6177EB" w14:textId="77777777" w:rsidR="00324ED2" w:rsidRPr="00EB023D" w:rsidRDefault="00324ED2" w:rsidP="00A91214">
            <w:pPr>
              <w:spacing w:line="252" w:lineRule="auto"/>
              <w:jc w:val="both"/>
            </w:pPr>
            <w:r w:rsidRPr="00EB023D">
              <w:t>Объемы продаж поликарбоната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3423117" w14:textId="77777777" w:rsidR="00324ED2" w:rsidRPr="00EB023D" w:rsidRDefault="00324ED2" w:rsidP="00753D8E">
            <w:pPr>
              <w:spacing w:line="252" w:lineRule="auto"/>
              <w:jc w:val="center"/>
            </w:pPr>
            <w:proofErr w:type="spellStart"/>
            <w:r w:rsidRPr="00EB023D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D61F41C" w14:textId="6061ADFA" w:rsidR="00324ED2" w:rsidRPr="00EB023D" w:rsidRDefault="00324ED2" w:rsidP="008D44EB">
            <w:pPr>
              <w:spacing w:line="252" w:lineRule="auto"/>
              <w:jc w:val="center"/>
            </w:pPr>
            <w:r w:rsidRPr="00EB023D">
              <w:t xml:space="preserve"> 106,</w:t>
            </w:r>
            <w:r w:rsidR="008D44EB" w:rsidRPr="00EB023D">
              <w:t>1</w:t>
            </w:r>
            <w:r w:rsidRPr="00EB023D">
              <w:t xml:space="preserve"> 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DE84DB" w14:textId="487A60B2" w:rsidR="00324ED2" w:rsidRPr="00EB023D" w:rsidRDefault="008D44EB" w:rsidP="00A91214">
            <w:pPr>
              <w:spacing w:line="252" w:lineRule="auto"/>
              <w:jc w:val="center"/>
            </w:pPr>
            <w:r w:rsidRPr="00EB023D">
              <w:t xml:space="preserve"> 96,2</w:t>
            </w:r>
          </w:p>
        </w:tc>
      </w:tr>
    </w:tbl>
    <w:p w14:paraId="4BE02D81" w14:textId="2099F89B" w:rsidR="00324ED2" w:rsidRPr="00EB023D" w:rsidRDefault="00324ED2" w:rsidP="00324ED2">
      <w:pPr>
        <w:spacing w:before="120"/>
        <w:jc w:val="both"/>
        <w:rPr>
          <w:rStyle w:val="Subst"/>
        </w:rPr>
      </w:pPr>
      <w:r w:rsidRPr="00EB023D">
        <w:rPr>
          <w:rStyle w:val="Subst"/>
        </w:rPr>
        <w:t>За 12 месяцев 202</w:t>
      </w:r>
      <w:r w:rsidR="00665B5B">
        <w:rPr>
          <w:rStyle w:val="Subst"/>
        </w:rPr>
        <w:t>3</w:t>
      </w:r>
      <w:r w:rsidRPr="00EB023D">
        <w:rPr>
          <w:rStyle w:val="Subst"/>
        </w:rPr>
        <w:t xml:space="preserve"> г. по сравнению с 12 месяцами 202</w:t>
      </w:r>
      <w:r w:rsidR="00665B5B">
        <w:rPr>
          <w:rStyle w:val="Subst"/>
        </w:rPr>
        <w:t>2</w:t>
      </w:r>
      <w:r w:rsidRPr="00EB023D">
        <w:rPr>
          <w:rStyle w:val="Subst"/>
        </w:rPr>
        <w:t xml:space="preserve"> г. снизились объемы поставки и переработки </w:t>
      </w:r>
      <w:proofErr w:type="spellStart"/>
      <w:r w:rsidRPr="00EB023D">
        <w:rPr>
          <w:rStyle w:val="Subst"/>
        </w:rPr>
        <w:t>этановой</w:t>
      </w:r>
      <w:proofErr w:type="spellEnd"/>
      <w:r w:rsidRPr="00EB023D">
        <w:rPr>
          <w:rStyle w:val="Subst"/>
        </w:rPr>
        <w:t xml:space="preserve"> фракции на 3% с 542,8 тыс. т до 528,2 тыс. т, сжиженного углеводородного газа - на 9% с 437,</w:t>
      </w:r>
      <w:r w:rsidR="00BD3228">
        <w:rPr>
          <w:rStyle w:val="Subst"/>
        </w:rPr>
        <w:t>4</w:t>
      </w:r>
      <w:r w:rsidRPr="00EB023D">
        <w:rPr>
          <w:rStyle w:val="Subst"/>
        </w:rPr>
        <w:t xml:space="preserve"> тыс. т до 396,4 тыс. т, поставка и переработка этилена со стороны уменьшилась на 22% с 128,1 тыс. т до 100,3 тыс. т. Снижение поставки сырья, а также останов с апреля 2023г. реактора «В» ПЭВП</w:t>
      </w:r>
      <w:r w:rsidR="003378AE">
        <w:rPr>
          <w:rStyle w:val="Subst"/>
        </w:rPr>
        <w:t xml:space="preserve"> (полиэтилен низкого давления)</w:t>
      </w:r>
      <w:r w:rsidRPr="00EB023D">
        <w:rPr>
          <w:rStyle w:val="Subst"/>
        </w:rPr>
        <w:t xml:space="preserve"> для модернизации, привели к уменьшению объемов производства и реализации полиэтиленов на 8%. </w:t>
      </w:r>
    </w:p>
    <w:p w14:paraId="723E8B4C" w14:textId="77777777" w:rsidR="00324ED2" w:rsidRDefault="00324ED2" w:rsidP="00324ED2">
      <w:pPr>
        <w:spacing w:before="120"/>
        <w:jc w:val="both"/>
        <w:rPr>
          <w:rStyle w:val="Subst"/>
        </w:rPr>
      </w:pPr>
      <w:r w:rsidRPr="00EB023D">
        <w:rPr>
          <w:rStyle w:val="Subst"/>
        </w:rPr>
        <w:t>Увеличение объемов реализации поликарбоната связано с проведенной модернизацией производства с наращением мощности.</w:t>
      </w:r>
    </w:p>
    <w:p w14:paraId="51CDBEE6" w14:textId="15955765" w:rsidR="003345E9" w:rsidRPr="00EB023D" w:rsidRDefault="003345E9" w:rsidP="00510EA6">
      <w:pPr>
        <w:pStyle w:val="2"/>
        <w:jc w:val="both"/>
      </w:pPr>
      <w:bookmarkStart w:id="7" w:name="_Toc164444088"/>
      <w:r w:rsidRPr="00EB023D">
        <w:t>1.4. Основные финансовые показатели эмитента</w:t>
      </w:r>
      <w:bookmarkEnd w:id="7"/>
    </w:p>
    <w:p w14:paraId="5D2159CA" w14:textId="6C28AC05" w:rsidR="003345E9" w:rsidRPr="00EB023D" w:rsidRDefault="003345E9" w:rsidP="00554B3C">
      <w:pPr>
        <w:pStyle w:val="2"/>
        <w:jc w:val="both"/>
      </w:pPr>
      <w:bookmarkStart w:id="8" w:name="_Toc164444089"/>
      <w:r w:rsidRPr="00EB023D">
        <w:t>1.4.1. Финансовые показатели</w:t>
      </w:r>
      <w:r w:rsidR="005E1805" w:rsidRPr="00EB023D">
        <w:t>,</w:t>
      </w:r>
      <w:r w:rsidRPr="00EB023D">
        <w:t xml:space="preserve"> рассчитываемые на основе консолидированной финансовой отчетности (финансовой отчетности)</w:t>
      </w:r>
      <w:bookmarkEnd w:id="8"/>
    </w:p>
    <w:p w14:paraId="08BB8663" w14:textId="77777777" w:rsidR="004F043C" w:rsidRPr="00EB023D" w:rsidRDefault="004F043C" w:rsidP="004F043C">
      <w:pPr>
        <w:spacing w:before="0" w:after="0"/>
        <w:jc w:val="both"/>
        <w:rPr>
          <w:b/>
          <w:bCs/>
          <w:i/>
          <w:iCs/>
        </w:rPr>
      </w:pPr>
    </w:p>
    <w:p w14:paraId="70FB39CC" w14:textId="3D732A12" w:rsidR="00972F1D" w:rsidRPr="00EB023D" w:rsidRDefault="004F043C" w:rsidP="00972F1D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lastRenderedPageBreak/>
        <w:t xml:space="preserve">Информация настоящего пункта раскрывается на основе данных </w:t>
      </w:r>
      <w:r w:rsidR="00753D8E">
        <w:rPr>
          <w:b/>
          <w:bCs/>
          <w:i/>
          <w:iCs/>
        </w:rPr>
        <w:t xml:space="preserve">раскрываемой </w:t>
      </w:r>
      <w:r w:rsidR="00972F1D" w:rsidRPr="00EB023D">
        <w:rPr>
          <w:b/>
          <w:bCs/>
          <w:i/>
          <w:iCs/>
        </w:rPr>
        <w:t>консолидированной финансовой отчетности.</w:t>
      </w:r>
    </w:p>
    <w:p w14:paraId="637E8B39" w14:textId="77777777" w:rsidR="003345E9" w:rsidRPr="00EB023D" w:rsidRDefault="003345E9" w:rsidP="00554B3C">
      <w:pPr>
        <w:pStyle w:val="ThinDelim"/>
        <w:jc w:val="both"/>
      </w:pPr>
    </w:p>
    <w:tbl>
      <w:tblPr>
        <w:tblW w:w="89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6089"/>
        <w:gridCol w:w="2127"/>
      </w:tblGrid>
      <w:tr w:rsidR="00EB023D" w:rsidRPr="00EB023D" w14:paraId="2127A634" w14:textId="77777777" w:rsidTr="00F13BFD">
        <w:tc>
          <w:tcPr>
            <w:tcW w:w="692" w:type="dxa"/>
          </w:tcPr>
          <w:p w14:paraId="08AFF8AE" w14:textId="42F413F2" w:rsidR="00B16EA6" w:rsidRPr="00EB023D" w:rsidRDefault="00B16EA6" w:rsidP="00742FBA">
            <w:pPr>
              <w:jc w:val="center"/>
            </w:pPr>
            <w:r w:rsidRPr="00EB023D">
              <w:t>№ п/п</w:t>
            </w:r>
          </w:p>
        </w:tc>
        <w:tc>
          <w:tcPr>
            <w:tcW w:w="6089" w:type="dxa"/>
          </w:tcPr>
          <w:p w14:paraId="61E3DF0F" w14:textId="491C40EF" w:rsidR="00B16EA6" w:rsidRPr="00EB023D" w:rsidRDefault="00B16EA6" w:rsidP="00742FBA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2127" w:type="dxa"/>
          </w:tcPr>
          <w:p w14:paraId="0685149A" w14:textId="77777777" w:rsidR="00B16EA6" w:rsidRPr="00EB023D" w:rsidRDefault="00B16EA6" w:rsidP="00B54AB3">
            <w:pPr>
              <w:pStyle w:val="ConsPlusNormal"/>
              <w:keepLines/>
              <w:jc w:val="center"/>
            </w:pPr>
            <w:r w:rsidRPr="00EB023D">
              <w:t xml:space="preserve">За 2023 </w:t>
            </w:r>
          </w:p>
          <w:p w14:paraId="7DF136F6" w14:textId="3A740654" w:rsidR="00B16EA6" w:rsidRPr="00EB023D" w:rsidRDefault="00B16EA6" w:rsidP="00B54AB3">
            <w:pPr>
              <w:jc w:val="center"/>
            </w:pPr>
            <w:r w:rsidRPr="00EB023D">
              <w:t>год</w:t>
            </w:r>
          </w:p>
        </w:tc>
      </w:tr>
      <w:tr w:rsidR="00EB023D" w:rsidRPr="00EB023D" w14:paraId="080B53EB" w14:textId="77777777" w:rsidTr="00F13BFD">
        <w:tc>
          <w:tcPr>
            <w:tcW w:w="692" w:type="dxa"/>
          </w:tcPr>
          <w:p w14:paraId="091FE0FA" w14:textId="0FFF2F09" w:rsidR="00B16EA6" w:rsidRPr="00EB023D" w:rsidRDefault="00B16EA6" w:rsidP="00A91214">
            <w:pPr>
              <w:jc w:val="center"/>
            </w:pPr>
            <w:r w:rsidRPr="00EB023D">
              <w:t>1</w:t>
            </w:r>
          </w:p>
        </w:tc>
        <w:tc>
          <w:tcPr>
            <w:tcW w:w="6089" w:type="dxa"/>
          </w:tcPr>
          <w:p w14:paraId="27068042" w14:textId="0B7C6FAA" w:rsidR="00B16EA6" w:rsidRPr="00EB023D" w:rsidRDefault="00B16EA6" w:rsidP="00A91214">
            <w:pPr>
              <w:jc w:val="both"/>
            </w:pPr>
            <w:r w:rsidRPr="00EB023D">
              <w:t>Выручка, млн руб.</w:t>
            </w:r>
          </w:p>
        </w:tc>
        <w:tc>
          <w:tcPr>
            <w:tcW w:w="2127" w:type="dxa"/>
          </w:tcPr>
          <w:p w14:paraId="3F73289C" w14:textId="78A3FD37" w:rsidR="00B16EA6" w:rsidRPr="00EB023D" w:rsidRDefault="00B16EA6" w:rsidP="00A91214">
            <w:pPr>
              <w:jc w:val="right"/>
            </w:pPr>
            <w:r w:rsidRPr="00EB023D">
              <w:t>99 558</w:t>
            </w:r>
          </w:p>
        </w:tc>
      </w:tr>
      <w:tr w:rsidR="00EB023D" w:rsidRPr="00EB023D" w14:paraId="05A39551" w14:textId="77777777" w:rsidTr="00F13BFD">
        <w:tc>
          <w:tcPr>
            <w:tcW w:w="692" w:type="dxa"/>
          </w:tcPr>
          <w:p w14:paraId="359F0F4D" w14:textId="0CBFB076" w:rsidR="00B16EA6" w:rsidRPr="00EB023D" w:rsidRDefault="00B16EA6" w:rsidP="00A91214">
            <w:pPr>
              <w:jc w:val="center"/>
            </w:pPr>
            <w:r w:rsidRPr="00EB023D">
              <w:t>2</w:t>
            </w:r>
          </w:p>
        </w:tc>
        <w:tc>
          <w:tcPr>
            <w:tcW w:w="6089" w:type="dxa"/>
          </w:tcPr>
          <w:p w14:paraId="321AC7E7" w14:textId="527F24D8" w:rsidR="00B16EA6" w:rsidRPr="00EB023D" w:rsidRDefault="00B16EA6" w:rsidP="00A91214">
            <w:pPr>
              <w:jc w:val="both"/>
            </w:pPr>
            <w:r w:rsidRPr="00EB023D">
              <w:t>Прибыль до вычета расходов по выплате процентов, налогов, износа основных средств и амортизации нематериальных активов (EBITDA), млн руб.</w:t>
            </w:r>
          </w:p>
        </w:tc>
        <w:tc>
          <w:tcPr>
            <w:tcW w:w="2127" w:type="dxa"/>
            <w:shd w:val="clear" w:color="auto" w:fill="FFFFFF" w:themeFill="background1"/>
          </w:tcPr>
          <w:p w14:paraId="4873B4F8" w14:textId="0656EDAC" w:rsidR="00B16EA6" w:rsidRPr="00EB023D" w:rsidRDefault="00B16EA6" w:rsidP="00A91214">
            <w:pPr>
              <w:jc w:val="right"/>
            </w:pPr>
            <w:r w:rsidRPr="00EB023D">
              <w:t>н/д</w:t>
            </w:r>
            <w:r w:rsidR="007005CC" w:rsidRPr="00EB023D">
              <w:rPr>
                <w:rStyle w:val="af7"/>
              </w:rPr>
              <w:footnoteReference w:id="1"/>
            </w:r>
          </w:p>
        </w:tc>
      </w:tr>
      <w:tr w:rsidR="00EB023D" w:rsidRPr="00EB023D" w14:paraId="728E053A" w14:textId="77777777" w:rsidTr="00F13BFD">
        <w:tc>
          <w:tcPr>
            <w:tcW w:w="692" w:type="dxa"/>
          </w:tcPr>
          <w:p w14:paraId="6FA3F414" w14:textId="1F33BB8F" w:rsidR="00B16EA6" w:rsidRPr="00EB023D" w:rsidRDefault="00B16EA6" w:rsidP="00A91214">
            <w:pPr>
              <w:jc w:val="center"/>
            </w:pPr>
            <w:r w:rsidRPr="00EB023D">
              <w:t>3</w:t>
            </w:r>
          </w:p>
        </w:tc>
        <w:tc>
          <w:tcPr>
            <w:tcW w:w="6089" w:type="dxa"/>
          </w:tcPr>
          <w:p w14:paraId="7FD7912F" w14:textId="3E636845" w:rsidR="00B16EA6" w:rsidRPr="00EB023D" w:rsidRDefault="00B16EA6" w:rsidP="00A91214">
            <w:pPr>
              <w:jc w:val="both"/>
            </w:pPr>
            <w:r w:rsidRPr="00EB023D">
              <w:t xml:space="preserve">Рентабельность по EBITDA (EBITDA </w:t>
            </w:r>
            <w:proofErr w:type="spellStart"/>
            <w:r w:rsidRPr="00EB023D">
              <w:t>margin</w:t>
            </w:r>
            <w:proofErr w:type="spellEnd"/>
            <w:r w:rsidRPr="00EB023D">
              <w:t>), %</w:t>
            </w:r>
          </w:p>
        </w:tc>
        <w:tc>
          <w:tcPr>
            <w:tcW w:w="2127" w:type="dxa"/>
            <w:shd w:val="clear" w:color="auto" w:fill="FFFFFF" w:themeFill="background1"/>
          </w:tcPr>
          <w:p w14:paraId="0BE9A3E6" w14:textId="57DFC334" w:rsidR="00B16EA6" w:rsidRPr="00EB023D" w:rsidRDefault="00B16EA6" w:rsidP="00A91214">
            <w:pPr>
              <w:jc w:val="right"/>
            </w:pPr>
            <w:r w:rsidRPr="00EB023D">
              <w:t>н/д</w:t>
            </w:r>
            <w:r w:rsidR="007005CC" w:rsidRPr="00EB023D">
              <w:t>¹</w:t>
            </w:r>
          </w:p>
        </w:tc>
      </w:tr>
      <w:tr w:rsidR="00EB023D" w:rsidRPr="00EB023D" w14:paraId="34338981" w14:textId="77777777" w:rsidTr="00F13BFD">
        <w:tc>
          <w:tcPr>
            <w:tcW w:w="692" w:type="dxa"/>
          </w:tcPr>
          <w:p w14:paraId="4D6B7FB9" w14:textId="12F88481" w:rsidR="00B16EA6" w:rsidRPr="00EB023D" w:rsidRDefault="00B16EA6" w:rsidP="00A91214">
            <w:pPr>
              <w:jc w:val="center"/>
            </w:pPr>
            <w:r w:rsidRPr="00EB023D">
              <w:t>4</w:t>
            </w:r>
          </w:p>
        </w:tc>
        <w:tc>
          <w:tcPr>
            <w:tcW w:w="6089" w:type="dxa"/>
          </w:tcPr>
          <w:p w14:paraId="300FCD93" w14:textId="14A822F1" w:rsidR="00B16EA6" w:rsidRPr="00EB023D" w:rsidRDefault="00B16EA6" w:rsidP="00A91214">
            <w:pPr>
              <w:jc w:val="both"/>
            </w:pPr>
            <w:r w:rsidRPr="00EB023D">
              <w:t>Чистая прибыль (убыток), млн руб.</w:t>
            </w:r>
          </w:p>
        </w:tc>
        <w:tc>
          <w:tcPr>
            <w:tcW w:w="2127" w:type="dxa"/>
            <w:shd w:val="clear" w:color="auto" w:fill="FFFFFF" w:themeFill="background1"/>
          </w:tcPr>
          <w:p w14:paraId="694E536C" w14:textId="7B571242" w:rsidR="00B16EA6" w:rsidRPr="00EB023D" w:rsidRDefault="00B16EA6" w:rsidP="00A91214">
            <w:pPr>
              <w:jc w:val="right"/>
            </w:pPr>
            <w:r w:rsidRPr="00EB023D">
              <w:t>15 890</w:t>
            </w:r>
          </w:p>
        </w:tc>
      </w:tr>
      <w:tr w:rsidR="00EB023D" w:rsidRPr="00EB023D" w14:paraId="16E8CD1A" w14:textId="77777777" w:rsidTr="00F13BFD">
        <w:tc>
          <w:tcPr>
            <w:tcW w:w="692" w:type="dxa"/>
          </w:tcPr>
          <w:p w14:paraId="382EEC83" w14:textId="768388EE" w:rsidR="00B16EA6" w:rsidRPr="00EB023D" w:rsidRDefault="00B16EA6" w:rsidP="00A91214">
            <w:pPr>
              <w:jc w:val="center"/>
            </w:pPr>
            <w:r w:rsidRPr="00EB023D">
              <w:t>5</w:t>
            </w:r>
          </w:p>
        </w:tc>
        <w:tc>
          <w:tcPr>
            <w:tcW w:w="6089" w:type="dxa"/>
          </w:tcPr>
          <w:p w14:paraId="7B341E79" w14:textId="5730A4BF" w:rsidR="00B16EA6" w:rsidRPr="00EB023D" w:rsidRDefault="00B16EA6" w:rsidP="00A91214">
            <w:pPr>
              <w:jc w:val="both"/>
            </w:pPr>
            <w:r w:rsidRPr="00EB023D">
              <w:t>Чистые денежные средства, полученные от операционной деятельности, млн руб.</w:t>
            </w:r>
          </w:p>
        </w:tc>
        <w:tc>
          <w:tcPr>
            <w:tcW w:w="2127" w:type="dxa"/>
            <w:shd w:val="clear" w:color="auto" w:fill="FFFFFF" w:themeFill="background1"/>
          </w:tcPr>
          <w:p w14:paraId="198213B3" w14:textId="566468A2" w:rsidR="00B16EA6" w:rsidRPr="00EB023D" w:rsidRDefault="00B16EA6" w:rsidP="00A91214">
            <w:pPr>
              <w:jc w:val="right"/>
            </w:pPr>
            <w:r w:rsidRPr="00EB023D">
              <w:t>18 170</w:t>
            </w:r>
          </w:p>
        </w:tc>
      </w:tr>
      <w:tr w:rsidR="00EB023D" w:rsidRPr="00EB023D" w14:paraId="36AF19DE" w14:textId="77777777" w:rsidTr="00F13BFD">
        <w:tc>
          <w:tcPr>
            <w:tcW w:w="692" w:type="dxa"/>
          </w:tcPr>
          <w:p w14:paraId="7C111584" w14:textId="7BC6B96F" w:rsidR="00B16EA6" w:rsidRPr="00EB023D" w:rsidRDefault="00B16EA6" w:rsidP="00B16EA6">
            <w:pPr>
              <w:jc w:val="center"/>
            </w:pPr>
            <w:r w:rsidRPr="00EB023D">
              <w:t>6</w:t>
            </w:r>
          </w:p>
        </w:tc>
        <w:tc>
          <w:tcPr>
            <w:tcW w:w="6089" w:type="dxa"/>
          </w:tcPr>
          <w:p w14:paraId="36735633" w14:textId="4972F1DC" w:rsidR="00B16EA6" w:rsidRPr="00EB023D" w:rsidRDefault="00B16EA6" w:rsidP="00B16EA6">
            <w:pPr>
              <w:jc w:val="both"/>
            </w:pPr>
            <w:r w:rsidRPr="00EB023D">
              <w:t>Расходы на приобретение основных средств и нематериальных активов (капитальные затраты), млн руб.</w:t>
            </w:r>
          </w:p>
        </w:tc>
        <w:tc>
          <w:tcPr>
            <w:tcW w:w="2127" w:type="dxa"/>
            <w:shd w:val="clear" w:color="auto" w:fill="FFFFFF" w:themeFill="background1"/>
          </w:tcPr>
          <w:p w14:paraId="01BEB614" w14:textId="5B80A21C" w:rsidR="00B16EA6" w:rsidRPr="00EB023D" w:rsidRDefault="00B16EA6" w:rsidP="00B16EA6">
            <w:pPr>
              <w:jc w:val="right"/>
            </w:pPr>
            <w:r w:rsidRPr="00EB023D">
              <w:t>н/д</w:t>
            </w:r>
            <w:r w:rsidR="007005CC" w:rsidRPr="00EB023D">
              <w:t>¹</w:t>
            </w:r>
          </w:p>
        </w:tc>
      </w:tr>
      <w:tr w:rsidR="00EB023D" w:rsidRPr="00EB023D" w14:paraId="73F046A4" w14:textId="77777777" w:rsidTr="00F13BFD">
        <w:tc>
          <w:tcPr>
            <w:tcW w:w="692" w:type="dxa"/>
          </w:tcPr>
          <w:p w14:paraId="76801F65" w14:textId="7D71ACA2" w:rsidR="00B16EA6" w:rsidRPr="00EB023D" w:rsidRDefault="00B16EA6" w:rsidP="00B16EA6">
            <w:pPr>
              <w:jc w:val="center"/>
            </w:pPr>
            <w:r w:rsidRPr="00EB023D">
              <w:t>7</w:t>
            </w:r>
          </w:p>
        </w:tc>
        <w:tc>
          <w:tcPr>
            <w:tcW w:w="6089" w:type="dxa"/>
          </w:tcPr>
          <w:p w14:paraId="2C415ABB" w14:textId="3AE789DF" w:rsidR="00B16EA6" w:rsidRPr="00EB023D" w:rsidRDefault="00B16EA6" w:rsidP="00B16EA6">
            <w:pPr>
              <w:jc w:val="both"/>
            </w:pPr>
            <w:r w:rsidRPr="00EB023D">
              <w:t>Свободный денежный поток, млн руб.</w:t>
            </w:r>
          </w:p>
        </w:tc>
        <w:tc>
          <w:tcPr>
            <w:tcW w:w="2127" w:type="dxa"/>
            <w:shd w:val="clear" w:color="auto" w:fill="FFFFFF" w:themeFill="background1"/>
          </w:tcPr>
          <w:p w14:paraId="62428748" w14:textId="22AFF843" w:rsidR="00B16EA6" w:rsidRPr="00EB023D" w:rsidRDefault="00B16EA6" w:rsidP="00B16EA6">
            <w:pPr>
              <w:jc w:val="right"/>
            </w:pPr>
            <w:r w:rsidRPr="00EB023D">
              <w:t>н/д</w:t>
            </w:r>
            <w:r w:rsidR="007005CC" w:rsidRPr="00EB023D">
              <w:t>¹</w:t>
            </w:r>
          </w:p>
        </w:tc>
      </w:tr>
      <w:tr w:rsidR="00EB023D" w:rsidRPr="00EB023D" w14:paraId="2F41A9B1" w14:textId="77777777" w:rsidTr="00F13BFD">
        <w:tc>
          <w:tcPr>
            <w:tcW w:w="692" w:type="dxa"/>
          </w:tcPr>
          <w:p w14:paraId="63D2E814" w14:textId="4FC746A0" w:rsidR="00B16EA6" w:rsidRPr="00EB023D" w:rsidRDefault="00B16EA6" w:rsidP="00A91214">
            <w:pPr>
              <w:jc w:val="center"/>
            </w:pPr>
            <w:r w:rsidRPr="00EB023D">
              <w:t>8</w:t>
            </w:r>
          </w:p>
        </w:tc>
        <w:tc>
          <w:tcPr>
            <w:tcW w:w="6089" w:type="dxa"/>
          </w:tcPr>
          <w:p w14:paraId="2D1E33B0" w14:textId="1D33D137" w:rsidR="00B16EA6" w:rsidRPr="00EB023D" w:rsidRDefault="00B16EA6" w:rsidP="00A91214">
            <w:pPr>
              <w:jc w:val="both"/>
            </w:pPr>
            <w:r w:rsidRPr="00EB023D">
              <w:t>Чисты</w:t>
            </w:r>
            <w:r w:rsidR="00001F8F">
              <w:t>й долг</w:t>
            </w:r>
            <w:r w:rsidRPr="00EB023D">
              <w:t>, млн руб.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14:paraId="0F490EF6" w14:textId="6E588D62" w:rsidR="00B16EA6" w:rsidRPr="00EB023D" w:rsidRDefault="00B16EA6" w:rsidP="00A91214">
            <w:pPr>
              <w:jc w:val="right"/>
            </w:pPr>
            <w:r w:rsidRPr="00EB023D">
              <w:t>111</w:t>
            </w:r>
          </w:p>
        </w:tc>
      </w:tr>
      <w:tr w:rsidR="00EB023D" w:rsidRPr="00EB023D" w14:paraId="2764FDB0" w14:textId="77777777" w:rsidTr="00F13BFD">
        <w:tc>
          <w:tcPr>
            <w:tcW w:w="692" w:type="dxa"/>
          </w:tcPr>
          <w:p w14:paraId="0517B5DC" w14:textId="1A34D027" w:rsidR="00B16EA6" w:rsidRPr="00EB023D" w:rsidRDefault="00B16EA6" w:rsidP="00A91214">
            <w:pPr>
              <w:jc w:val="center"/>
            </w:pPr>
            <w:r w:rsidRPr="00EB023D">
              <w:t>9</w:t>
            </w:r>
          </w:p>
        </w:tc>
        <w:tc>
          <w:tcPr>
            <w:tcW w:w="6089" w:type="dxa"/>
          </w:tcPr>
          <w:p w14:paraId="79A86221" w14:textId="1BE83DF3" w:rsidR="00B16EA6" w:rsidRPr="00EB023D" w:rsidRDefault="00B16EA6" w:rsidP="007005CC">
            <w:pPr>
              <w:jc w:val="both"/>
            </w:pPr>
            <w:r w:rsidRPr="00EB023D">
              <w:t>Отношение чистого долга к EBITDA за последние 12 месяцев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C98872" w14:textId="6D6792FC" w:rsidR="00B16EA6" w:rsidRPr="00EB023D" w:rsidRDefault="00451484" w:rsidP="00A91214">
            <w:pPr>
              <w:jc w:val="right"/>
            </w:pPr>
            <w:r w:rsidRPr="00451484">
              <w:t>н/д¹</w:t>
            </w:r>
          </w:p>
        </w:tc>
      </w:tr>
      <w:tr w:rsidR="00EB023D" w:rsidRPr="00EB023D" w14:paraId="0740C66E" w14:textId="77777777" w:rsidTr="00F13BFD">
        <w:tc>
          <w:tcPr>
            <w:tcW w:w="692" w:type="dxa"/>
          </w:tcPr>
          <w:p w14:paraId="6865004F" w14:textId="5AD8DC17" w:rsidR="00B16EA6" w:rsidRPr="00EB023D" w:rsidRDefault="00B16EA6" w:rsidP="00A91214">
            <w:pPr>
              <w:jc w:val="center"/>
            </w:pPr>
            <w:r w:rsidRPr="00EB023D">
              <w:t>10</w:t>
            </w:r>
          </w:p>
        </w:tc>
        <w:tc>
          <w:tcPr>
            <w:tcW w:w="6089" w:type="dxa"/>
          </w:tcPr>
          <w:p w14:paraId="05C9B975" w14:textId="3DEDD2B3" w:rsidR="00B16EA6" w:rsidRPr="00EB023D" w:rsidRDefault="00B16EA6" w:rsidP="007005CC">
            <w:pPr>
              <w:jc w:val="both"/>
            </w:pPr>
            <w:r w:rsidRPr="00EB023D">
              <w:t>Рентабельность капитала (ROE), %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26DC806B" w14:textId="43953E08" w:rsidR="00B16EA6" w:rsidRPr="00EB023D" w:rsidRDefault="00B16EA6" w:rsidP="00A91214">
            <w:pPr>
              <w:jc w:val="right"/>
            </w:pPr>
            <w:r w:rsidRPr="00EB023D">
              <w:t>11.0</w:t>
            </w:r>
          </w:p>
        </w:tc>
      </w:tr>
    </w:tbl>
    <w:p w14:paraId="53D57C25" w14:textId="77777777" w:rsidR="00E23EC8" w:rsidRPr="00EB023D" w:rsidRDefault="00E23EC8" w:rsidP="00E23EC8">
      <w:pPr>
        <w:jc w:val="both"/>
      </w:pPr>
      <w:bookmarkStart w:id="9" w:name="_Toc146532563"/>
    </w:p>
    <w:bookmarkEnd w:id="9"/>
    <w:p w14:paraId="0BE73B48" w14:textId="62AF7F4E" w:rsidR="00A91214" w:rsidRPr="00EB023D" w:rsidRDefault="00A91214" w:rsidP="00A91214">
      <w:pPr>
        <w:jc w:val="both"/>
      </w:pPr>
      <w:r w:rsidRPr="00EB023D">
        <w:t xml:space="preserve">Статьи, на основе которых рассчитан показатель «Чистый долг» раскрываются на дату окончания отчетного периода, состоящего из 12 месяцев 2023 года, и содержатся в Примечании 19 </w:t>
      </w:r>
      <w:r w:rsidR="00B16EA6" w:rsidRPr="00EB023D">
        <w:t xml:space="preserve">раскрываемой </w:t>
      </w:r>
      <w:r w:rsidRPr="00EB023D">
        <w:t xml:space="preserve">консолидированной финансовой отчетности по состоянию на и за </w:t>
      </w:r>
      <w:r w:rsidR="00B16EA6" w:rsidRPr="00EB023D">
        <w:t>год</w:t>
      </w:r>
      <w:r w:rsidRPr="00EB023D">
        <w:t>, закончивши</w:t>
      </w:r>
      <w:r w:rsidR="00B16EA6" w:rsidRPr="00EB023D">
        <w:t>йся 31 декабря 2023 г. (подробнее в п.5.1</w:t>
      </w:r>
      <w:r w:rsidR="0020009D">
        <w:t>)</w:t>
      </w:r>
      <w:r w:rsidR="00B16EA6" w:rsidRPr="00EB023D">
        <w:t>.</w:t>
      </w:r>
    </w:p>
    <w:p w14:paraId="578BF0C7" w14:textId="2BA5A681" w:rsidR="003345E9" w:rsidRPr="00EB023D" w:rsidRDefault="003345E9" w:rsidP="00742FBA">
      <w:pPr>
        <w:pStyle w:val="2"/>
        <w:jc w:val="both"/>
      </w:pPr>
      <w:bookmarkStart w:id="10" w:name="_Toc164444090"/>
      <w:r w:rsidRPr="00EB023D">
        <w:t>1.4.2. Финансовые показатели, рассчитываемые на основе бухгалтерской (финансовой) отчетности</w:t>
      </w:r>
      <w:bookmarkEnd w:id="10"/>
    </w:p>
    <w:p w14:paraId="2B8B36EB" w14:textId="4D8F1BE2" w:rsidR="00F30CE9" w:rsidRPr="00EB023D" w:rsidRDefault="003345E9" w:rsidP="00E70493">
      <w:pPr>
        <w:jc w:val="both"/>
        <w:rPr>
          <w:b/>
          <w:bCs/>
          <w:i/>
          <w:iCs/>
        </w:rPr>
      </w:pPr>
      <w:r w:rsidRPr="00EB023D">
        <w:rPr>
          <w:rStyle w:val="Subst"/>
          <w:bCs/>
          <w:iCs/>
        </w:rPr>
        <w:t xml:space="preserve">Эмитент, составляет и раскрывает </w:t>
      </w:r>
      <w:r w:rsidR="00F9767F" w:rsidRPr="00EB023D">
        <w:rPr>
          <w:rStyle w:val="Subst"/>
          <w:bCs/>
          <w:iCs/>
        </w:rPr>
        <w:t xml:space="preserve">раскрываемую </w:t>
      </w:r>
      <w:r w:rsidR="00F30CE9" w:rsidRPr="00EB023D">
        <w:rPr>
          <w:b/>
          <w:bCs/>
          <w:i/>
          <w:iCs/>
        </w:rPr>
        <w:t xml:space="preserve">консолидированную финансовую </w:t>
      </w:r>
      <w:r w:rsidR="0016168E" w:rsidRPr="00EB023D">
        <w:rPr>
          <w:b/>
          <w:bCs/>
          <w:i/>
          <w:iCs/>
        </w:rPr>
        <w:t>отчетность.</w:t>
      </w:r>
    </w:p>
    <w:p w14:paraId="6D6BC789" w14:textId="77777777" w:rsidR="003345E9" w:rsidRPr="00EB023D" w:rsidRDefault="003345E9" w:rsidP="00554B3C">
      <w:pPr>
        <w:pStyle w:val="2"/>
        <w:jc w:val="both"/>
      </w:pPr>
      <w:bookmarkStart w:id="11" w:name="_Toc164444091"/>
      <w:r w:rsidRPr="00EB023D">
        <w:t>1.4.3. Финансовые показатели кредитной организации</w:t>
      </w:r>
      <w:bookmarkEnd w:id="11"/>
    </w:p>
    <w:p w14:paraId="5AD2D152" w14:textId="33B98CD5" w:rsidR="003345E9" w:rsidRPr="00EB023D" w:rsidRDefault="003345E9" w:rsidP="00E70493">
      <w:pPr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>Эмитент не является кредитной организацией</w:t>
      </w:r>
      <w:r w:rsidR="00742637" w:rsidRPr="00EB023D">
        <w:rPr>
          <w:rStyle w:val="Subst"/>
          <w:bCs/>
          <w:iCs/>
        </w:rPr>
        <w:t>.</w:t>
      </w:r>
    </w:p>
    <w:p w14:paraId="64B52F0C" w14:textId="77777777" w:rsidR="003345E9" w:rsidRPr="00EB023D" w:rsidRDefault="003345E9" w:rsidP="00554B3C">
      <w:pPr>
        <w:pStyle w:val="2"/>
        <w:jc w:val="both"/>
      </w:pPr>
      <w:bookmarkStart w:id="12" w:name="_Toc164444092"/>
      <w:r w:rsidRPr="00EB023D">
        <w:t>1.4.4. Иные финансовые показатели</w:t>
      </w:r>
      <w:bookmarkEnd w:id="12"/>
    </w:p>
    <w:p w14:paraId="15DACDA8" w14:textId="063397E5" w:rsidR="003345E9" w:rsidRPr="00EB023D" w:rsidRDefault="003345E9" w:rsidP="00E70493">
      <w:pPr>
        <w:jc w:val="both"/>
      </w:pPr>
      <w:r w:rsidRPr="00EB023D">
        <w:rPr>
          <w:rStyle w:val="Subst"/>
          <w:bCs/>
          <w:iCs/>
        </w:rPr>
        <w:t>Информация не указывается</w:t>
      </w:r>
      <w:r w:rsidR="00742637" w:rsidRPr="00EB023D">
        <w:rPr>
          <w:rStyle w:val="Subst"/>
          <w:bCs/>
          <w:iCs/>
        </w:rPr>
        <w:t>.</w:t>
      </w:r>
    </w:p>
    <w:p w14:paraId="061067E6" w14:textId="77777777" w:rsidR="003345E9" w:rsidRPr="00E9641F" w:rsidRDefault="003345E9" w:rsidP="00554B3C">
      <w:pPr>
        <w:pStyle w:val="2"/>
        <w:jc w:val="both"/>
      </w:pPr>
      <w:bookmarkStart w:id="13" w:name="_Toc164444093"/>
      <w:r w:rsidRPr="00E9641F">
        <w:t>1.4.5. Анализ динамики изменения финансовых показателей, приведенных в подпунктах 1.4.1 - 1.4.4 настоящего пункта</w:t>
      </w:r>
      <w:bookmarkEnd w:id="13"/>
    </w:p>
    <w:p w14:paraId="55BC6FD7" w14:textId="1811B7B1" w:rsidR="00426B7C" w:rsidRPr="00E9641F" w:rsidRDefault="00F9767F" w:rsidP="00F9767F">
      <w:pPr>
        <w:rPr>
          <w:b/>
          <w:i/>
        </w:rPr>
      </w:pPr>
      <w:r w:rsidRPr="00E9641F">
        <w:rPr>
          <w:b/>
          <w:i/>
        </w:rPr>
        <w:t xml:space="preserve">Информация не раскрывается. </w:t>
      </w:r>
    </w:p>
    <w:p w14:paraId="43A8544E" w14:textId="56855FE3" w:rsidR="003345E9" w:rsidRPr="00E9641F" w:rsidRDefault="003345E9" w:rsidP="00426B7C">
      <w:pPr>
        <w:pStyle w:val="2"/>
        <w:jc w:val="both"/>
      </w:pPr>
      <w:bookmarkStart w:id="14" w:name="_Toc164444094"/>
      <w:r w:rsidRPr="00E9641F">
        <w:t>1.5. Сведения об основных поставщиках эмитента</w:t>
      </w:r>
      <w:bookmarkEnd w:id="14"/>
    </w:p>
    <w:p w14:paraId="39EE28D6" w14:textId="77777777" w:rsidR="00F9767F" w:rsidRPr="00E9641F" w:rsidRDefault="00F9767F" w:rsidP="00F9767F">
      <w:pPr>
        <w:jc w:val="both"/>
        <w:rPr>
          <w:b/>
          <w:bCs/>
          <w:i/>
          <w:iCs/>
        </w:rPr>
      </w:pPr>
      <w:r w:rsidRPr="00E9641F">
        <w:rPr>
          <w:b/>
          <w:bCs/>
          <w:i/>
          <w:iCs/>
        </w:rPr>
        <w:t xml:space="preserve">Информация не раскрывается. </w:t>
      </w:r>
    </w:p>
    <w:p w14:paraId="5A499EB6" w14:textId="2D490139" w:rsidR="003345E9" w:rsidRPr="00E9641F" w:rsidRDefault="003345E9" w:rsidP="00F9767F">
      <w:pPr>
        <w:pStyle w:val="2"/>
        <w:jc w:val="both"/>
      </w:pPr>
      <w:bookmarkStart w:id="15" w:name="_Toc164444095"/>
      <w:r w:rsidRPr="00E9641F">
        <w:t>1.6. Сведения об основных дебиторах эмитента</w:t>
      </w:r>
      <w:bookmarkEnd w:id="15"/>
    </w:p>
    <w:p w14:paraId="408AD3EB" w14:textId="1387EB92" w:rsidR="00F9767F" w:rsidRDefault="00F9767F" w:rsidP="00F9767F">
      <w:pPr>
        <w:rPr>
          <w:b/>
          <w:bCs/>
          <w:i/>
          <w:iCs/>
        </w:rPr>
      </w:pPr>
      <w:r w:rsidRPr="00E9641F">
        <w:rPr>
          <w:b/>
          <w:bCs/>
          <w:i/>
          <w:iCs/>
        </w:rPr>
        <w:t xml:space="preserve">Информация не раскрывается. </w:t>
      </w:r>
    </w:p>
    <w:p w14:paraId="6064F6BC" w14:textId="77777777" w:rsidR="00E42134" w:rsidRPr="00E9641F" w:rsidRDefault="00E42134" w:rsidP="00F9767F">
      <w:pPr>
        <w:rPr>
          <w:b/>
          <w:bCs/>
          <w:i/>
          <w:iCs/>
        </w:rPr>
      </w:pPr>
    </w:p>
    <w:p w14:paraId="22042018" w14:textId="39541054" w:rsidR="003345E9" w:rsidRDefault="003345E9" w:rsidP="00554B3C">
      <w:pPr>
        <w:pStyle w:val="2"/>
        <w:jc w:val="both"/>
      </w:pPr>
      <w:bookmarkStart w:id="16" w:name="_Toc164444096"/>
      <w:r w:rsidRPr="00E9641F">
        <w:lastRenderedPageBreak/>
        <w:t>1.7. Сведения об обязательствах эмитента</w:t>
      </w:r>
      <w:bookmarkEnd w:id="16"/>
    </w:p>
    <w:p w14:paraId="135007C5" w14:textId="77777777" w:rsidR="003345E9" w:rsidRPr="00E9641F" w:rsidRDefault="003345E9" w:rsidP="00554B3C">
      <w:pPr>
        <w:pStyle w:val="2"/>
        <w:jc w:val="both"/>
      </w:pPr>
      <w:bookmarkStart w:id="17" w:name="_Toc164444097"/>
      <w:r w:rsidRPr="00E9641F">
        <w:t>1.7.1. Сведения об основных кредиторах эмитента</w:t>
      </w:r>
      <w:bookmarkEnd w:id="17"/>
    </w:p>
    <w:p w14:paraId="0045162C" w14:textId="2D98F465" w:rsidR="00FA578B" w:rsidRDefault="00F9767F" w:rsidP="00FA578B">
      <w:pPr>
        <w:spacing w:before="240"/>
        <w:jc w:val="both"/>
        <w:rPr>
          <w:b/>
          <w:bCs/>
          <w:i/>
          <w:iCs/>
        </w:rPr>
      </w:pPr>
      <w:r w:rsidRPr="00E9641F">
        <w:rPr>
          <w:b/>
          <w:bCs/>
          <w:i/>
          <w:iCs/>
        </w:rPr>
        <w:t>Информация не раскрывается.</w:t>
      </w:r>
    </w:p>
    <w:p w14:paraId="738DF301" w14:textId="77777777" w:rsidR="003345E9" w:rsidRPr="00E9641F" w:rsidRDefault="003345E9" w:rsidP="00554B3C">
      <w:pPr>
        <w:pStyle w:val="2"/>
        <w:jc w:val="both"/>
      </w:pPr>
      <w:bookmarkStart w:id="18" w:name="_Toc164444098"/>
      <w:r w:rsidRPr="00E9641F">
        <w:t>1.7.2. Сведения об обязательствах эмитента из предоставленного обеспечения</w:t>
      </w:r>
      <w:bookmarkEnd w:id="18"/>
    </w:p>
    <w:p w14:paraId="60B6492A" w14:textId="77777777" w:rsidR="006A127D" w:rsidRPr="00EB023D" w:rsidRDefault="006A127D" w:rsidP="001F3B11">
      <w:pPr>
        <w:jc w:val="both"/>
        <w:rPr>
          <w:b/>
          <w:bCs/>
          <w:i/>
          <w:iCs/>
          <w:highlight w:val="lightGray"/>
        </w:rPr>
      </w:pPr>
    </w:p>
    <w:p w14:paraId="75DC0338" w14:textId="681F5BD5" w:rsidR="00F61F17" w:rsidRPr="00EB023D" w:rsidRDefault="00F9767F" w:rsidP="001F3B11">
      <w:pPr>
        <w:jc w:val="both"/>
      </w:pPr>
      <w:r w:rsidRPr="00EB023D">
        <w:rPr>
          <w:b/>
          <w:bCs/>
          <w:i/>
          <w:iCs/>
        </w:rPr>
        <w:t>Информация не раскрывается.</w:t>
      </w:r>
    </w:p>
    <w:p w14:paraId="07B37EFD" w14:textId="77777777" w:rsidR="003345E9" w:rsidRPr="00EB023D" w:rsidRDefault="003345E9" w:rsidP="00554B3C">
      <w:pPr>
        <w:pStyle w:val="2"/>
        <w:jc w:val="both"/>
      </w:pPr>
      <w:bookmarkStart w:id="19" w:name="_Toc164444099"/>
      <w:r w:rsidRPr="00EB023D">
        <w:t>1.7.3. Сведения о прочих существенных обязательствах эмитента</w:t>
      </w:r>
      <w:bookmarkEnd w:id="19"/>
    </w:p>
    <w:p w14:paraId="6D4C85CB" w14:textId="122603E7" w:rsidR="00182E03" w:rsidRPr="00EB023D" w:rsidRDefault="00182E03" w:rsidP="00736BC0">
      <w:pPr>
        <w:spacing w:before="0" w:after="0"/>
        <w:jc w:val="both"/>
        <w:rPr>
          <w:b/>
          <w:bCs/>
          <w:i/>
          <w:iCs/>
        </w:rPr>
      </w:pPr>
      <w:r w:rsidRPr="00EB023D">
        <w:rPr>
          <w:rStyle w:val="Subst"/>
        </w:rPr>
        <w:t xml:space="preserve">Информация настоящего пункта раскрывается на основе данных </w:t>
      </w:r>
      <w:r w:rsidR="00753D8E">
        <w:rPr>
          <w:rStyle w:val="Subst"/>
        </w:rPr>
        <w:t xml:space="preserve">раскрываемой </w:t>
      </w:r>
      <w:r w:rsidR="00B54AB3" w:rsidRPr="00EB023D">
        <w:rPr>
          <w:b/>
          <w:bCs/>
          <w:i/>
          <w:iCs/>
        </w:rPr>
        <w:t>консолидированной финансовой отчетности.</w:t>
      </w:r>
    </w:p>
    <w:p w14:paraId="139249B0" w14:textId="491AE208" w:rsidR="003345E9" w:rsidRPr="00EB023D" w:rsidRDefault="006A30D4" w:rsidP="00736BC0">
      <w:pPr>
        <w:jc w:val="both"/>
      </w:pPr>
      <w:r w:rsidRPr="00EB023D">
        <w:rPr>
          <w:b/>
          <w:bCs/>
          <w:i/>
          <w:iCs/>
        </w:rPr>
        <w:t>Прочих об</w:t>
      </w:r>
      <w:r w:rsidR="00C90341" w:rsidRPr="00EB023D">
        <w:rPr>
          <w:b/>
          <w:bCs/>
          <w:i/>
          <w:iCs/>
        </w:rPr>
        <w:t>язательств, которые, по мнению Э</w:t>
      </w:r>
      <w:r w:rsidRPr="00EB023D">
        <w:rPr>
          <w:b/>
          <w:bCs/>
          <w:i/>
          <w:iCs/>
        </w:rPr>
        <w:t xml:space="preserve">митента, могут существенным образом воздействовать на финансовое положение </w:t>
      </w:r>
      <w:r w:rsidR="00C90341" w:rsidRPr="00EB023D">
        <w:rPr>
          <w:b/>
          <w:bCs/>
          <w:i/>
          <w:iCs/>
        </w:rPr>
        <w:t>Э</w:t>
      </w:r>
      <w:r w:rsidR="008108D3" w:rsidRPr="00EB023D">
        <w:rPr>
          <w:b/>
          <w:bCs/>
          <w:i/>
          <w:iCs/>
        </w:rPr>
        <w:t>митента (Группы Э</w:t>
      </w:r>
      <w:r w:rsidRPr="00EB023D">
        <w:rPr>
          <w:b/>
          <w:bCs/>
          <w:i/>
          <w:iCs/>
        </w:rPr>
        <w:t>митента), в том числе на ликвидность, источники финансирования и условия их использования, результаты деятельности и расходы, не имеется.</w:t>
      </w:r>
    </w:p>
    <w:p w14:paraId="6E21AEE4" w14:textId="77777777" w:rsidR="003345E9" w:rsidRPr="00EB023D" w:rsidRDefault="003345E9" w:rsidP="00554B3C">
      <w:pPr>
        <w:pStyle w:val="2"/>
        <w:jc w:val="both"/>
      </w:pPr>
      <w:bookmarkStart w:id="20" w:name="_Toc164444100"/>
      <w:r w:rsidRPr="00EB023D">
        <w:t>1.8. Сведения о перспективах развития эмитента</w:t>
      </w:r>
      <w:bookmarkEnd w:id="20"/>
    </w:p>
    <w:p w14:paraId="0DB1316E" w14:textId="1CA2A46B" w:rsidR="008B7270" w:rsidRPr="00753D8E" w:rsidRDefault="008B7270" w:rsidP="00D01F8F">
      <w:pPr>
        <w:jc w:val="both"/>
      </w:pPr>
      <w:r w:rsidRPr="00753D8E">
        <w:t>Приводится описание стратегии</w:t>
      </w:r>
      <w:r w:rsidR="00753D8E">
        <w:t xml:space="preserve"> дальнейшего развития эмитента группы эмитента</w:t>
      </w:r>
      <w:r w:rsidRPr="00753D8E">
        <w:t xml:space="preserve"> не менее чем на год в отношении организации нового производства, расширения или сокращения производства, разработки новых видов продукции, модернизации и реконструкции основных средств, возможного изменения основной деятельности.</w:t>
      </w:r>
    </w:p>
    <w:p w14:paraId="61C204D4" w14:textId="5359823E" w:rsidR="008B7270" w:rsidRPr="00EB023D" w:rsidRDefault="008B7270" w:rsidP="001B799F">
      <w:pPr>
        <w:spacing w:after="0"/>
        <w:jc w:val="both"/>
        <w:rPr>
          <w:b/>
          <w:i/>
        </w:rPr>
      </w:pPr>
      <w:r w:rsidRPr="00EB023D">
        <w:rPr>
          <w:b/>
          <w:i/>
        </w:rPr>
        <w:t xml:space="preserve">В активной фазе находится строительство проекта «Реконструкция реактора «В» завода </w:t>
      </w:r>
      <w:r w:rsidR="003378AE" w:rsidRPr="00EB023D">
        <w:rPr>
          <w:rStyle w:val="Subst"/>
        </w:rPr>
        <w:t>ПЭВП</w:t>
      </w:r>
      <w:r w:rsidR="001B799F">
        <w:rPr>
          <w:b/>
          <w:i/>
        </w:rPr>
        <w:t xml:space="preserve"> </w:t>
      </w:r>
      <w:r w:rsidRPr="00EB023D">
        <w:rPr>
          <w:b/>
          <w:i/>
        </w:rPr>
        <w:t xml:space="preserve">ПАО «Казаньоргсинтез» с наращением мощности до 220 тыс. тонн полиэтилена в год. </w:t>
      </w:r>
    </w:p>
    <w:p w14:paraId="6B4017DF" w14:textId="1BC4B144" w:rsidR="008B7270" w:rsidRPr="00EB023D" w:rsidRDefault="008B7270" w:rsidP="00D01F8F">
      <w:pPr>
        <w:jc w:val="both"/>
        <w:rPr>
          <w:b/>
          <w:i/>
        </w:rPr>
      </w:pPr>
      <w:r w:rsidRPr="00EB023D">
        <w:rPr>
          <w:b/>
          <w:i/>
        </w:rPr>
        <w:t>Реактор полимеризации предназначен для получения сополимеров этилена (в данном случае – полиэтилена низкого давления). В настоящее время производительность реактора «В» составляет 70 тыс. тонн в год. В ходе работ планируется модернизировать сам реактор «В», заменить продувочную емкост</w:t>
      </w:r>
      <w:r w:rsidR="00103017">
        <w:rPr>
          <w:b/>
          <w:i/>
        </w:rPr>
        <w:t>ь</w:t>
      </w:r>
      <w:r w:rsidRPr="00EB023D">
        <w:rPr>
          <w:b/>
          <w:i/>
        </w:rPr>
        <w:t xml:space="preserve"> на более технологичную, установить блок рекуперации сбросных газов, модернизировать факельную систему, модернизировать систему транспортировки и подачи катализаторов. Реконструкция должна привести к увеличению максимальной производительности по выпуску полиэтилена низкого давления до 220 тыс. тонн в год, а также расширить марочный ассортимент выпускаемого полиэтилена.</w:t>
      </w:r>
    </w:p>
    <w:p w14:paraId="14E0C492" w14:textId="33FDA9E0" w:rsidR="008B7270" w:rsidRPr="00EB023D" w:rsidRDefault="008B7270" w:rsidP="00D01F8F">
      <w:pPr>
        <w:jc w:val="both"/>
        <w:rPr>
          <w:b/>
          <w:i/>
        </w:rPr>
      </w:pPr>
      <w:r w:rsidRPr="00EB023D">
        <w:rPr>
          <w:b/>
          <w:i/>
        </w:rPr>
        <w:t xml:space="preserve">При этом, несмотря на трехкратное увеличение мощности, новые технологии позволят даже сократить воздействие на окружающую среду. Производство порошка полиэтилена предусматривает </w:t>
      </w:r>
      <w:proofErr w:type="spellStart"/>
      <w:r w:rsidRPr="00EB023D">
        <w:rPr>
          <w:b/>
          <w:i/>
        </w:rPr>
        <w:t>сдувки</w:t>
      </w:r>
      <w:proofErr w:type="spellEnd"/>
      <w:r w:rsidRPr="00EB023D">
        <w:rPr>
          <w:b/>
          <w:i/>
        </w:rPr>
        <w:t xml:space="preserve"> неотработанных газов, которые сжигаются на факеле. После реконструкции благодаря системе рекуперации неотработанные газы будут возвращаться в техпроцесс. Это позволит снизить выбросы в атмосферу продуктов сжигания углеводородных газов на факельной установке. Согласно данным оценки воздействия на окружающую среду, реализация проекта позволит возвращать в техпроцесс 8</w:t>
      </w:r>
      <w:r w:rsidR="00C94F86">
        <w:rPr>
          <w:b/>
          <w:i/>
        </w:rPr>
        <w:t xml:space="preserve"> </w:t>
      </w:r>
      <w:r w:rsidRPr="00EB023D">
        <w:rPr>
          <w:b/>
          <w:i/>
        </w:rPr>
        <w:t>760 тонн углеводородных газов. Факельная установка также подвергнется модернизации, а именно будет установлен дополнительный сепаратор, улавливающий частицы полиэтилена.</w:t>
      </w:r>
    </w:p>
    <w:p w14:paraId="0DE1C093" w14:textId="7F855FE5" w:rsidR="008B7270" w:rsidRPr="00EB023D" w:rsidRDefault="008B7270" w:rsidP="00D01F8F">
      <w:pPr>
        <w:jc w:val="both"/>
        <w:rPr>
          <w:b/>
          <w:i/>
        </w:rPr>
      </w:pPr>
      <w:r w:rsidRPr="00EB023D">
        <w:rPr>
          <w:b/>
          <w:i/>
        </w:rPr>
        <w:t xml:space="preserve">Завершение строительства запланировано </w:t>
      </w:r>
      <w:r w:rsidR="00617834" w:rsidRPr="00EB023D">
        <w:rPr>
          <w:b/>
          <w:i/>
        </w:rPr>
        <w:t xml:space="preserve">на </w:t>
      </w:r>
      <w:r w:rsidRPr="00EB023D">
        <w:rPr>
          <w:b/>
          <w:i/>
        </w:rPr>
        <w:t>2 квартал 2024 года.</w:t>
      </w:r>
    </w:p>
    <w:p w14:paraId="7278981A" w14:textId="77777777" w:rsidR="008B7270" w:rsidRPr="00EB023D" w:rsidRDefault="008B7270" w:rsidP="00D01F8F">
      <w:pPr>
        <w:jc w:val="both"/>
        <w:rPr>
          <w:b/>
          <w:i/>
        </w:rPr>
      </w:pPr>
      <w:r w:rsidRPr="00EB023D">
        <w:rPr>
          <w:b/>
          <w:i/>
        </w:rPr>
        <w:t xml:space="preserve">Продолжается программа по поддержанию основных фондов Эмитента, стабилизации действующих производств. </w:t>
      </w:r>
    </w:p>
    <w:p w14:paraId="177010B0" w14:textId="77777777" w:rsidR="008B7270" w:rsidRPr="00EB023D" w:rsidRDefault="008B7270" w:rsidP="00D01F8F">
      <w:pPr>
        <w:jc w:val="both"/>
        <w:rPr>
          <w:b/>
          <w:i/>
        </w:rPr>
      </w:pPr>
      <w:r w:rsidRPr="00EB023D">
        <w:rPr>
          <w:b/>
          <w:i/>
        </w:rPr>
        <w:t xml:space="preserve">На ПАО «Казаньоргсинтез» ведется непрерывная работа, направленная на обеспечение развития Эмитента, повышение его конкурентоспособности, повышение надежности и эффективности производств, а также на уменьшение негативного воздействия на окружающую среду. </w:t>
      </w:r>
    </w:p>
    <w:p w14:paraId="5FA5DABF" w14:textId="77777777" w:rsidR="00B95A5F" w:rsidRPr="00E9641F" w:rsidRDefault="00B95A5F" w:rsidP="001E68ED">
      <w:pPr>
        <w:pStyle w:val="2"/>
        <w:jc w:val="both"/>
      </w:pPr>
      <w:bookmarkStart w:id="21" w:name="_Toc164444101"/>
      <w:r w:rsidRPr="00E9641F">
        <w:t>1.9. Сведения о рисках, связанных с деятельностью эмитента</w:t>
      </w:r>
      <w:bookmarkEnd w:id="21"/>
    </w:p>
    <w:p w14:paraId="784FE06A" w14:textId="742E11F6" w:rsidR="003F5233" w:rsidRPr="00EB023D" w:rsidRDefault="00F9767F" w:rsidP="00F34058">
      <w:pPr>
        <w:jc w:val="both"/>
      </w:pPr>
      <w:r w:rsidRPr="00EB023D">
        <w:rPr>
          <w:b/>
          <w:bCs/>
          <w:i/>
          <w:iCs/>
        </w:rPr>
        <w:t xml:space="preserve">Информация не раскрывается. </w:t>
      </w:r>
    </w:p>
    <w:p w14:paraId="1EEB0562" w14:textId="77777777" w:rsidR="003F5233" w:rsidRPr="00EB023D" w:rsidRDefault="003F5233" w:rsidP="00554B3C">
      <w:pPr>
        <w:ind w:left="200"/>
        <w:jc w:val="both"/>
        <w:sectPr w:rsidR="003F5233" w:rsidRPr="00EB023D" w:rsidSect="00445F66">
          <w:headerReference w:type="default" r:id="rId16"/>
          <w:footerReference w:type="default" r:id="rId17"/>
          <w:pgSz w:w="11907" w:h="16840"/>
          <w:pgMar w:top="1134" w:right="1418" w:bottom="1134" w:left="1418" w:header="720" w:footer="720" w:gutter="0"/>
          <w:cols w:space="720"/>
          <w:noEndnote/>
          <w:titlePg/>
          <w:docGrid w:linePitch="272"/>
        </w:sectPr>
      </w:pPr>
    </w:p>
    <w:p w14:paraId="2F46C69D" w14:textId="7E55075B" w:rsidR="00336EAE" w:rsidRPr="00EB023D" w:rsidRDefault="003345E9" w:rsidP="00336EAE">
      <w:pPr>
        <w:pStyle w:val="1"/>
      </w:pPr>
      <w:bookmarkStart w:id="22" w:name="_Toc164444102"/>
      <w:r w:rsidRPr="00EB023D">
        <w:lastRenderedPageBreak/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bookmarkEnd w:id="22"/>
    </w:p>
    <w:p w14:paraId="493E3088" w14:textId="77777777" w:rsidR="00336EAE" w:rsidRPr="00E9641F" w:rsidRDefault="00336EAE" w:rsidP="001E68ED">
      <w:pPr>
        <w:pStyle w:val="2"/>
        <w:jc w:val="both"/>
      </w:pPr>
      <w:bookmarkStart w:id="23" w:name="_Toc115250325"/>
      <w:bookmarkStart w:id="24" w:name="_Toc164444103"/>
      <w:r w:rsidRPr="00E9641F">
        <w:t>2.1. Информация о лицах, входящих в состав органов управления эмитента</w:t>
      </w:r>
      <w:bookmarkEnd w:id="23"/>
      <w:bookmarkEnd w:id="24"/>
    </w:p>
    <w:p w14:paraId="33E2A1B9" w14:textId="77777777" w:rsidR="00F36D8F" w:rsidRPr="004C7111" w:rsidRDefault="00F36D8F" w:rsidP="004C7111">
      <w:pPr>
        <w:rPr>
          <w:b/>
          <w:i/>
        </w:rPr>
      </w:pPr>
      <w:bookmarkStart w:id="25" w:name="_Toc115250326"/>
      <w:r w:rsidRPr="004C7111">
        <w:rPr>
          <w:b/>
          <w:i/>
        </w:rPr>
        <w:t xml:space="preserve">Информация не раскрывается. </w:t>
      </w:r>
    </w:p>
    <w:p w14:paraId="72A9FCF0" w14:textId="77777777" w:rsidR="00336EAE" w:rsidRPr="00E9641F" w:rsidRDefault="00830240" w:rsidP="00852103">
      <w:pPr>
        <w:pStyle w:val="2"/>
        <w:jc w:val="both"/>
      </w:pPr>
      <w:bookmarkStart w:id="26" w:name="_Toc115250329"/>
      <w:bookmarkStart w:id="27" w:name="_Toc164444104"/>
      <w:bookmarkEnd w:id="25"/>
      <w:r w:rsidRPr="00E9641F">
        <w:t>2.</w:t>
      </w:r>
      <w:r w:rsidR="00336EAE" w:rsidRPr="00E9641F">
        <w:t>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bookmarkEnd w:id="26"/>
      <w:bookmarkEnd w:id="27"/>
    </w:p>
    <w:p w14:paraId="7E596EA2" w14:textId="1DF1254D" w:rsidR="00F952AF" w:rsidRPr="00E9641F" w:rsidRDefault="00336EAE" w:rsidP="00673112">
      <w:pPr>
        <w:jc w:val="both"/>
        <w:rPr>
          <w:rStyle w:val="Subst"/>
          <w:bCs/>
        </w:rPr>
      </w:pPr>
      <w:r w:rsidRPr="00E9641F">
        <w:t xml:space="preserve">Основные положения политики в области вознаграждения и (или) компенсации расходов </w:t>
      </w:r>
      <w:r w:rsidR="00E87C1B" w:rsidRPr="00E9641F">
        <w:t>ч</w:t>
      </w:r>
      <w:r w:rsidR="008C43D6" w:rsidRPr="00E9641F">
        <w:t>лен</w:t>
      </w:r>
      <w:r w:rsidRPr="00E9641F">
        <w:t>ов органов управления эмитента:</w:t>
      </w:r>
      <w:r w:rsidRPr="00E9641F">
        <w:br/>
      </w:r>
      <w:r w:rsidR="00F952AF" w:rsidRPr="00E9641F">
        <w:rPr>
          <w:rStyle w:val="Subst"/>
          <w:bCs/>
        </w:rPr>
        <w:t xml:space="preserve">Порядок начисления и выплаты вознаграждений и компенсаций членам Совета директоров устанавливается Положением о </w:t>
      </w:r>
      <w:r w:rsidR="004303F3" w:rsidRPr="00E9641F">
        <w:rPr>
          <w:rStyle w:val="Subst"/>
          <w:bCs/>
        </w:rPr>
        <w:t>Совете</w:t>
      </w:r>
      <w:r w:rsidR="00F952AF" w:rsidRPr="00E9641F">
        <w:rPr>
          <w:rStyle w:val="Subst"/>
          <w:bCs/>
        </w:rPr>
        <w:t xml:space="preserve"> директоров </w:t>
      </w:r>
      <w:r w:rsidR="00092306" w:rsidRPr="00E9641F">
        <w:rPr>
          <w:rStyle w:val="Subst"/>
          <w:bCs/>
        </w:rPr>
        <w:t>ПАО </w:t>
      </w:r>
      <w:r w:rsidR="00F952AF" w:rsidRPr="00E9641F">
        <w:rPr>
          <w:rStyle w:val="Subst"/>
          <w:bCs/>
        </w:rPr>
        <w:t xml:space="preserve">«Казаньоргсинтез» за исполнение своих обязанностей и компенсации расходов, связанных с исполнением ими функций членов Совета директоров ПАО «Казаньоргсинтез», утвержденным решением Общего собрания акционеров. </w:t>
      </w:r>
      <w:r w:rsidR="00F952AF" w:rsidRPr="00E9641F">
        <w:rPr>
          <w:rStyle w:val="Subst"/>
          <w:bCs/>
        </w:rPr>
        <w:br/>
        <w:t>По решению Совета директоров членам Правления в период исполнения ими своих обязанностей может выплачиваться вознаграждение и (или) могут компенсироваться расходы, связанные с исполнением ими функций членов Правления в соответствии с Положением о Правлении. Размеры таких вознаграждений и компенсаций устанавливаются решением Совета директоров.</w:t>
      </w:r>
    </w:p>
    <w:p w14:paraId="47F628F9" w14:textId="77777777" w:rsidR="00F952AF" w:rsidRPr="00EB023D" w:rsidRDefault="00F952AF" w:rsidP="00673112">
      <w:pPr>
        <w:jc w:val="both"/>
        <w:rPr>
          <w:rStyle w:val="Subst"/>
          <w:bCs/>
          <w:iCs/>
        </w:rPr>
      </w:pPr>
      <w:r w:rsidRPr="00E9641F">
        <w:rPr>
          <w:rStyle w:val="Subst"/>
          <w:bCs/>
        </w:rPr>
        <w:t>В соответствии с Уставом ПАО «Казаньоргсинтез» условия договора с Единоличным исполнительным органом, в том числе размер вознаграждения, устанавливается Советом директоров.</w:t>
      </w:r>
      <w:r w:rsidRPr="00EB023D">
        <w:rPr>
          <w:rStyle w:val="Subst"/>
          <w:bCs/>
        </w:rPr>
        <w:t xml:space="preserve">  </w:t>
      </w:r>
    </w:p>
    <w:p w14:paraId="7A8F78F3" w14:textId="77777777" w:rsidR="00F36D8F" w:rsidRPr="00EB023D" w:rsidRDefault="00F36D8F" w:rsidP="00F36D8F">
      <w:pPr>
        <w:spacing w:before="0" w:after="0"/>
        <w:jc w:val="both"/>
      </w:pPr>
      <w:bookmarkStart w:id="28" w:name="_Toc115250330"/>
    </w:p>
    <w:p w14:paraId="5AD4B11B" w14:textId="779A6E89" w:rsidR="00F36D8F" w:rsidRPr="00EB023D" w:rsidRDefault="00F36D8F" w:rsidP="00F36D8F">
      <w:pPr>
        <w:spacing w:before="0" w:after="0"/>
        <w:jc w:val="both"/>
      </w:pPr>
      <w:r w:rsidRPr="00EB023D">
        <w:t>Сведения о размере вознаграждения по каждому из органов управления не раскрываются.</w:t>
      </w:r>
    </w:p>
    <w:p w14:paraId="7F4416C6" w14:textId="77777777" w:rsidR="00131E0C" w:rsidRPr="00EB023D" w:rsidRDefault="00131E0C" w:rsidP="00131E0C">
      <w:pPr>
        <w:spacing w:before="0" w:after="0"/>
        <w:jc w:val="both"/>
      </w:pPr>
    </w:p>
    <w:p w14:paraId="722AADBA" w14:textId="77777777" w:rsidR="00131E0C" w:rsidRPr="00EB023D" w:rsidRDefault="00131E0C" w:rsidP="00131E0C">
      <w:pPr>
        <w:jc w:val="both"/>
        <w:rPr>
          <w:b/>
          <w:bCs/>
          <w:i/>
          <w:iCs/>
        </w:rPr>
      </w:pPr>
      <w:r w:rsidRPr="00EB023D">
        <w:t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 w:rsidRPr="00EB023D">
        <w:br/>
      </w:r>
      <w:r w:rsidRPr="00EB023D">
        <w:rPr>
          <w:b/>
          <w:bCs/>
          <w:i/>
          <w:iCs/>
        </w:rPr>
        <w:t xml:space="preserve">Размер вознаграждения, подлежащего выплате, и (или) размер расходов, подлежащих компенсации, установлен Положением о Совете директоров ПАО «Казаньоргсинтез», утвержденным Общим собранием акционеров ПАО «Казаньоргсинтез» 30 июня 2022 года. </w:t>
      </w:r>
    </w:p>
    <w:p w14:paraId="6A72FD95" w14:textId="282D3C92" w:rsidR="00336EAE" w:rsidRPr="00EB023D" w:rsidRDefault="00336EAE" w:rsidP="00852103">
      <w:pPr>
        <w:pStyle w:val="2"/>
        <w:jc w:val="both"/>
      </w:pPr>
      <w:bookmarkStart w:id="29" w:name="_Toc164444105"/>
      <w:r w:rsidRPr="00EB023D"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bookmarkEnd w:id="28"/>
      <w:r w:rsidR="001D536C" w:rsidRPr="00EB023D">
        <w:rPr>
          <w:rStyle w:val="af7"/>
        </w:rPr>
        <w:footnoteReference w:id="2"/>
      </w:r>
      <w:bookmarkEnd w:id="29"/>
    </w:p>
    <w:p w14:paraId="587725CD" w14:textId="77777777" w:rsidR="00336EAE" w:rsidRPr="00EB023D" w:rsidRDefault="00336EAE" w:rsidP="00336EAE">
      <w:pPr>
        <w:ind w:left="200"/>
        <w:jc w:val="both"/>
      </w:pPr>
    </w:p>
    <w:p w14:paraId="35E076AB" w14:textId="5CA9C84B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t>Описание организации в эмитенте управления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эмитента, внутренними документами эмитента и решениями уполномоченных органов управления эмитента:</w:t>
      </w:r>
      <w:r w:rsidRPr="00EB023D">
        <w:br/>
      </w:r>
      <w:r w:rsidR="00CA3184" w:rsidRPr="00EB023D">
        <w:rPr>
          <w:b/>
          <w:bCs/>
          <w:i/>
          <w:iCs/>
        </w:rPr>
        <w:t>К</w:t>
      </w:r>
      <w:r w:rsidRPr="00EB023D">
        <w:rPr>
          <w:b/>
          <w:bCs/>
          <w:i/>
          <w:iCs/>
        </w:rPr>
        <w:t>онтроль за финансово-хозяйственной деятельностью</w:t>
      </w:r>
      <w:r w:rsidR="00CA3184" w:rsidRPr="00EB023D">
        <w:rPr>
          <w:b/>
          <w:bCs/>
          <w:i/>
          <w:iCs/>
        </w:rPr>
        <w:t xml:space="preserve"> Эмитента</w:t>
      </w:r>
      <w:r w:rsidRPr="00EB023D">
        <w:rPr>
          <w:b/>
          <w:bCs/>
          <w:i/>
          <w:iCs/>
        </w:rPr>
        <w:t>, внутренний контрол</w:t>
      </w:r>
      <w:r w:rsidR="00B44D5A" w:rsidRPr="00EB023D">
        <w:rPr>
          <w:b/>
          <w:bCs/>
          <w:i/>
          <w:iCs/>
        </w:rPr>
        <w:t>ь и внутренний аудит осуществляю</w:t>
      </w:r>
      <w:r w:rsidRPr="00EB023D">
        <w:rPr>
          <w:b/>
          <w:bCs/>
          <w:i/>
          <w:iCs/>
        </w:rPr>
        <w:t>т</w:t>
      </w:r>
      <w:r w:rsidR="00B44D5A" w:rsidRPr="00EB023D">
        <w:rPr>
          <w:b/>
          <w:bCs/>
          <w:i/>
          <w:iCs/>
        </w:rPr>
        <w:t>:</w:t>
      </w:r>
      <w:r w:rsidRPr="00EB023D">
        <w:rPr>
          <w:b/>
          <w:bCs/>
          <w:i/>
          <w:iCs/>
        </w:rPr>
        <w:t xml:space="preserve"> Аудитор, Комитет </w:t>
      </w:r>
      <w:r w:rsidR="00B44D5A" w:rsidRPr="00EB023D">
        <w:rPr>
          <w:b/>
          <w:bCs/>
          <w:i/>
          <w:iCs/>
        </w:rPr>
        <w:t xml:space="preserve">по аудиту </w:t>
      </w:r>
      <w:r w:rsidRPr="00EB023D">
        <w:rPr>
          <w:b/>
          <w:bCs/>
          <w:i/>
          <w:iCs/>
        </w:rPr>
        <w:t>Совета директоров, ревизионная комиссия, управление внутреннего аудита.</w:t>
      </w:r>
    </w:p>
    <w:p w14:paraId="7F354A2B" w14:textId="50EE81FE" w:rsidR="00336EAE" w:rsidRPr="00EB023D" w:rsidRDefault="00861E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br/>
        <w:t>Аудитор Общества утверждается О</w:t>
      </w:r>
      <w:r w:rsidR="00336EAE" w:rsidRPr="00EB023D">
        <w:rPr>
          <w:b/>
          <w:bCs/>
          <w:i/>
          <w:iCs/>
        </w:rPr>
        <w:t>бщим Собранием акционеров Общества по представлению Совета дир</w:t>
      </w:r>
      <w:r w:rsidR="003C40A2">
        <w:rPr>
          <w:b/>
          <w:bCs/>
          <w:i/>
          <w:iCs/>
        </w:rPr>
        <w:t>екторов. Согласно п.29.1 ст.29 У</w:t>
      </w:r>
      <w:r w:rsidR="00336EAE" w:rsidRPr="00EB023D">
        <w:rPr>
          <w:b/>
          <w:bCs/>
          <w:i/>
          <w:iCs/>
        </w:rPr>
        <w:t xml:space="preserve">става </w:t>
      </w:r>
      <w:r w:rsidRPr="00EB023D">
        <w:rPr>
          <w:b/>
          <w:bCs/>
          <w:i/>
          <w:iCs/>
        </w:rPr>
        <w:t>Э</w:t>
      </w:r>
      <w:r w:rsidR="00336EAE" w:rsidRPr="00EB023D">
        <w:rPr>
          <w:b/>
          <w:bCs/>
          <w:i/>
          <w:iCs/>
        </w:rPr>
        <w:t>митента, аудитор</w:t>
      </w:r>
      <w:r w:rsidR="00B44D5A" w:rsidRPr="00EB023D">
        <w:rPr>
          <w:b/>
          <w:bCs/>
          <w:i/>
          <w:iCs/>
        </w:rPr>
        <w:t xml:space="preserve">ская организация </w:t>
      </w:r>
      <w:r w:rsidR="00336EAE" w:rsidRPr="00EB023D">
        <w:rPr>
          <w:b/>
          <w:bCs/>
          <w:i/>
          <w:iCs/>
        </w:rPr>
        <w:t xml:space="preserve">осуществляет проверку финансово-хозяйственной деятельности Общества в соответствии с </w:t>
      </w:r>
      <w:r w:rsidR="00336EAE" w:rsidRPr="00EB023D">
        <w:rPr>
          <w:b/>
          <w:bCs/>
          <w:i/>
          <w:iCs/>
        </w:rPr>
        <w:lastRenderedPageBreak/>
        <w:t xml:space="preserve">правовыми актами Российской Федерации на основании </w:t>
      </w:r>
      <w:r w:rsidR="00C15BDB" w:rsidRPr="00EB023D">
        <w:rPr>
          <w:b/>
          <w:bCs/>
          <w:i/>
          <w:iCs/>
        </w:rPr>
        <w:t>заключаемого</w:t>
      </w:r>
      <w:r w:rsidR="00B44D5A" w:rsidRPr="00EB023D">
        <w:rPr>
          <w:b/>
          <w:bCs/>
          <w:i/>
          <w:iCs/>
        </w:rPr>
        <w:t xml:space="preserve"> с ней</w:t>
      </w:r>
      <w:r w:rsidR="00336EAE" w:rsidRPr="00EB023D">
        <w:rPr>
          <w:b/>
          <w:bCs/>
          <w:i/>
          <w:iCs/>
        </w:rPr>
        <w:t xml:space="preserve"> договора. </w:t>
      </w:r>
    </w:p>
    <w:p w14:paraId="3A6B61D6" w14:textId="11130ED1" w:rsidR="00E4198A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br/>
        <w:t>Положение о Комитете по аудиту Совета директоров ПАО</w:t>
      </w:r>
      <w:r w:rsidR="008C43D6" w:rsidRPr="00EB023D">
        <w:rPr>
          <w:b/>
          <w:bCs/>
          <w:i/>
          <w:iCs/>
        </w:rPr>
        <w:t xml:space="preserve"> «</w:t>
      </w:r>
      <w:r w:rsidRPr="00EB023D">
        <w:rPr>
          <w:b/>
          <w:bCs/>
          <w:i/>
          <w:iCs/>
        </w:rPr>
        <w:t>Казаньоргсинтез</w:t>
      </w:r>
      <w:r w:rsidR="008C43D6" w:rsidRPr="00EB023D">
        <w:rPr>
          <w:b/>
          <w:bCs/>
          <w:i/>
          <w:iCs/>
        </w:rPr>
        <w:t xml:space="preserve">» </w:t>
      </w:r>
      <w:r w:rsidRPr="00EB023D">
        <w:rPr>
          <w:b/>
          <w:bCs/>
          <w:i/>
          <w:iCs/>
        </w:rPr>
        <w:t xml:space="preserve">размещено на сайте в сети Интернет </w:t>
      </w:r>
      <w:hyperlink r:id="rId18" w:history="1">
        <w:r w:rsidRPr="00EB023D">
          <w:rPr>
            <w:b/>
            <w:bCs/>
            <w:i/>
            <w:iCs/>
            <w:u w:val="single"/>
          </w:rPr>
          <w:t>https://disclosure.skrin.ru/disclosure/1658008723/?DTI=4</w:t>
        </w:r>
      </w:hyperlink>
      <w:r w:rsidRPr="00EB023D">
        <w:rPr>
          <w:b/>
          <w:bCs/>
          <w:i/>
          <w:iCs/>
        </w:rPr>
        <w:t xml:space="preserve"> , а также на сайте </w:t>
      </w:r>
      <w:r w:rsidR="00861E67" w:rsidRPr="00EB023D">
        <w:rPr>
          <w:b/>
          <w:bCs/>
          <w:i/>
          <w:iCs/>
        </w:rPr>
        <w:t>Э</w:t>
      </w:r>
      <w:r w:rsidRPr="00EB023D">
        <w:rPr>
          <w:b/>
          <w:bCs/>
          <w:i/>
          <w:iCs/>
        </w:rPr>
        <w:t>митента в сети Интернет</w:t>
      </w:r>
      <w:r w:rsidR="00CA3184" w:rsidRPr="00EB023D">
        <w:rPr>
          <w:b/>
          <w:bCs/>
          <w:i/>
          <w:iCs/>
        </w:rPr>
        <w:t xml:space="preserve"> </w:t>
      </w:r>
      <w:hyperlink r:id="rId19" w:history="1">
        <w:r w:rsidR="00033E3F" w:rsidRPr="00EB023D">
          <w:rPr>
            <w:rStyle w:val="aa"/>
            <w:b/>
            <w:bCs/>
            <w:i/>
            <w:iCs/>
            <w:color w:val="auto"/>
          </w:rPr>
          <w:t>https://www.sibur.ru/upload/iblock/80e/t4ayajk22d101vanc8gd3owmjl5xdksf.pdf</w:t>
        </w:r>
      </w:hyperlink>
      <w:r w:rsidR="00033E3F" w:rsidRPr="00EB023D">
        <w:rPr>
          <w:b/>
          <w:bCs/>
          <w:i/>
          <w:iCs/>
        </w:rPr>
        <w:t xml:space="preserve"> .</w:t>
      </w:r>
      <w:r w:rsidR="00985FC5" w:rsidRPr="00EB023D">
        <w:rPr>
          <w:b/>
          <w:bCs/>
          <w:i/>
          <w:iCs/>
        </w:rPr>
        <w:t xml:space="preserve"> </w:t>
      </w:r>
    </w:p>
    <w:p w14:paraId="44951F4A" w14:textId="77777777" w:rsidR="00E4198A" w:rsidRPr="00EB023D" w:rsidRDefault="00E4198A" w:rsidP="008520E3">
      <w:pPr>
        <w:jc w:val="both"/>
        <w:rPr>
          <w:b/>
          <w:bCs/>
          <w:i/>
          <w:iCs/>
        </w:rPr>
      </w:pPr>
    </w:p>
    <w:p w14:paraId="27DE3DD7" w14:textId="77777777" w:rsidR="004A5C67" w:rsidRPr="00EB023D" w:rsidRDefault="00E4198A" w:rsidP="008520E3">
      <w:pPr>
        <w:jc w:val="both"/>
      </w:pPr>
      <w:r w:rsidRPr="00EB023D">
        <w:rPr>
          <w:b/>
          <w:bCs/>
          <w:i/>
          <w:iCs/>
        </w:rPr>
        <w:t xml:space="preserve">Эмитентом образован Комитет по аудиту Совета директоров. </w:t>
      </w:r>
      <w:r w:rsidRPr="00EB023D">
        <w:rPr>
          <w:b/>
          <w:bCs/>
          <w:i/>
          <w:iCs/>
        </w:rPr>
        <w:br/>
      </w:r>
    </w:p>
    <w:p w14:paraId="13F7206C" w14:textId="03CEBFEC" w:rsidR="00033E3F" w:rsidRPr="00EB023D" w:rsidRDefault="00336EAE" w:rsidP="008520E3">
      <w:pPr>
        <w:jc w:val="both"/>
        <w:rPr>
          <w:b/>
          <w:bCs/>
          <w:i/>
          <w:iCs/>
        </w:rPr>
      </w:pPr>
      <w:r w:rsidRPr="00EB023D">
        <w:t>Основные функции комитета по аудиту совета директоров (наблюдательного совета):</w:t>
      </w:r>
      <w:r w:rsidRPr="00EB023D">
        <w:br/>
      </w:r>
      <w:r w:rsidRPr="00EB023D">
        <w:rPr>
          <w:b/>
          <w:bCs/>
          <w:i/>
          <w:iCs/>
        </w:rPr>
        <w:t>Согласно п. 3.1. Положения о Комитете по аудиту Совета директоров, ут</w:t>
      </w:r>
      <w:r w:rsidR="00861E67" w:rsidRPr="00EB023D">
        <w:rPr>
          <w:b/>
          <w:bCs/>
          <w:i/>
          <w:iCs/>
        </w:rPr>
        <w:t>вержденного Советом директоров Э</w:t>
      </w:r>
      <w:r w:rsidRPr="00EB023D">
        <w:rPr>
          <w:b/>
          <w:bCs/>
          <w:i/>
          <w:iCs/>
        </w:rPr>
        <w:t>митента (протокол №</w:t>
      </w:r>
      <w:r w:rsidR="004A5C67" w:rsidRPr="00EB023D">
        <w:rPr>
          <w:b/>
          <w:bCs/>
          <w:i/>
          <w:iCs/>
        </w:rPr>
        <w:t>22</w:t>
      </w:r>
      <w:r w:rsidRPr="00EB023D">
        <w:rPr>
          <w:b/>
          <w:bCs/>
          <w:i/>
          <w:iCs/>
        </w:rPr>
        <w:t xml:space="preserve"> от </w:t>
      </w:r>
      <w:r w:rsidR="004A5C67" w:rsidRPr="00EB023D">
        <w:rPr>
          <w:b/>
          <w:bCs/>
          <w:i/>
          <w:iCs/>
        </w:rPr>
        <w:t>30.12.2022</w:t>
      </w:r>
      <w:r w:rsidRPr="00EB023D">
        <w:rPr>
          <w:b/>
          <w:bCs/>
          <w:i/>
          <w:iCs/>
        </w:rPr>
        <w:t xml:space="preserve">), </w:t>
      </w:r>
      <w:r w:rsidR="00CA3184" w:rsidRPr="00EB023D">
        <w:rPr>
          <w:b/>
          <w:bCs/>
          <w:i/>
          <w:iCs/>
        </w:rPr>
        <w:t>в</w:t>
      </w:r>
      <w:r w:rsidR="00033E3F" w:rsidRPr="00EB023D">
        <w:t xml:space="preserve"> </w:t>
      </w:r>
      <w:r w:rsidR="00033E3F" w:rsidRPr="00EB023D">
        <w:rPr>
          <w:b/>
          <w:bCs/>
          <w:i/>
          <w:iCs/>
        </w:rPr>
        <w:t>це</w:t>
      </w:r>
      <w:r w:rsidR="00B44D5A" w:rsidRPr="00EB023D">
        <w:rPr>
          <w:b/>
          <w:bCs/>
          <w:i/>
          <w:iCs/>
        </w:rPr>
        <w:t xml:space="preserve">лях объективного и независимого </w:t>
      </w:r>
      <w:r w:rsidR="00033E3F" w:rsidRPr="00EB023D">
        <w:rPr>
          <w:b/>
          <w:bCs/>
          <w:i/>
          <w:iCs/>
        </w:rPr>
        <w:t xml:space="preserve">информирования </w:t>
      </w:r>
      <w:r w:rsidR="00E87C1B" w:rsidRPr="00EB023D">
        <w:rPr>
          <w:b/>
          <w:bCs/>
          <w:i/>
          <w:iCs/>
        </w:rPr>
        <w:t>ч</w:t>
      </w:r>
      <w:r w:rsidR="008C43D6" w:rsidRPr="00EB023D">
        <w:rPr>
          <w:b/>
          <w:bCs/>
          <w:i/>
          <w:iCs/>
        </w:rPr>
        <w:t>лен</w:t>
      </w:r>
      <w:r w:rsidR="00033E3F" w:rsidRPr="00EB023D">
        <w:rPr>
          <w:b/>
          <w:bCs/>
          <w:i/>
          <w:iCs/>
        </w:rPr>
        <w:t>ов Совета директоров Общества Комитет по аудиту Совета директоров выполняет следующие функции:</w:t>
      </w:r>
    </w:p>
    <w:p w14:paraId="0AA3955F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3.1.1. В области бухгалтерской (финансовой) отчетности: </w:t>
      </w:r>
    </w:p>
    <w:p w14:paraId="40A61196" w14:textId="77777777" w:rsidR="00E4198A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3.1.1.1. предварительное рассмотрение годовой и ежеквартальной финансовой отчетности Общества; </w:t>
      </w:r>
    </w:p>
    <w:p w14:paraId="3DFD8A8C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3.1.1.2. обсуждение с единоличным исполнительным органом, руководителем внутреннего аудита вопросов бухгалтерского учета, а также иных вопросов, которые могут негативно повлиять на финансовую отчетность Общества; </w:t>
      </w:r>
    </w:p>
    <w:p w14:paraId="42B8FBA5" w14:textId="77777777" w:rsidR="00E4198A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3.1.1.3. контроль за обеспечением полноты, точности и достоверности финансовой (бухгалтерской) отчетности Общества; </w:t>
      </w:r>
    </w:p>
    <w:p w14:paraId="4D9ABA2A" w14:textId="77777777" w:rsidR="001539F1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3.1.1.4. информирование Совета директоров о случаях отражения в бухгалтерской отчетности неполных, неточных и недостоверных сведений. </w:t>
      </w:r>
    </w:p>
    <w:p w14:paraId="781A7194" w14:textId="77777777" w:rsidR="00791848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3.1.2. В области управления рисками, внутреннего контроля и корпоративного управления: </w:t>
      </w:r>
    </w:p>
    <w:p w14:paraId="43E4B333" w14:textId="5C7B0FCF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3.1.2.1. контроль за надежностью и эффективностью и оценка функционирования системы управления рисками и внутреннего контроля, и системы корпоративного управления в Обществе; 3.1.2.2. предварительное рассмотрение отчета о соблюдении принципов и рекомендаций кодекса корпоративного управления и заключения управления внутреннего аудита об оценке системы корпоративного управления за отчетный период; </w:t>
      </w:r>
    </w:p>
    <w:p w14:paraId="37BB927B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3.1.2.3. предварительное рассмотрение проектов политики в области управления рисками и внутреннего контроля в Обществе. </w:t>
      </w:r>
    </w:p>
    <w:p w14:paraId="31EF4230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3.1.3. В области реализации функции внутреннего аудита: </w:t>
      </w:r>
    </w:p>
    <w:p w14:paraId="42CB0C8B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3.1.3.1. обеспечение и проведение оценки независимости и объективности осуществления функции внутреннего аудита; </w:t>
      </w:r>
    </w:p>
    <w:p w14:paraId="02AD19ED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3.1.3.2. предварительное рассмотрение проектов внутренних документов Общества, регламентирующих процедуры в части определения размера дивидендов по акциям и порядку их выплаты, процедуры внутреннего контроля Общества, управление рисками в Обществе, а также работу внутреннего аудита; </w:t>
      </w:r>
    </w:p>
    <w:p w14:paraId="45C83C04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3.1.3.3. рассмотрение планов работы внутреннего аудита на период, а также отчетов об их исполнении; </w:t>
      </w:r>
    </w:p>
    <w:p w14:paraId="2DB331A9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3.1.3.4. предварительное рассмотрение проектов политики в области внутреннего аудита в Обществе; </w:t>
      </w:r>
    </w:p>
    <w:p w14:paraId="4E84E075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3.1.3.5. рассмотрение на ежегодной основе результатов внутренней оценки функции внутреннего аудита, проводимой подразделением внутреннего аудита в соответствии с Международными профессиональными стандартами внутреннего аудита; </w:t>
      </w:r>
    </w:p>
    <w:p w14:paraId="5AA3CDF5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3.1.3.6. предварительное согласование кандидатуры руководителя внутреннего аудита, назначения и освобождения его от занимаемой должности, а также размера, условий и порядка его вознаграждения. </w:t>
      </w:r>
    </w:p>
    <w:p w14:paraId="59210798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3.1.4. В области проведения внешнего аудита: </w:t>
      </w:r>
    </w:p>
    <w:p w14:paraId="12CEAE0E" w14:textId="77777777" w:rsidR="00791848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3.1.4.1. обеспечение независимости и объективности осуществления функции внешнего аудита; </w:t>
      </w:r>
    </w:p>
    <w:p w14:paraId="632D3905" w14:textId="09DD889D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3.1.4.2. подготовка для Совета директоров Общества рекомендаций по кандидатуре Аудитора Общества для проведения аудита финансовой (бухгалтерской) или иной отчетности, составленной в соответствии с требованиями российского законодательства, и консолидированной финансовой </w:t>
      </w:r>
      <w:r w:rsidRPr="00EB023D">
        <w:rPr>
          <w:b/>
          <w:bCs/>
          <w:i/>
          <w:iCs/>
        </w:rPr>
        <w:lastRenderedPageBreak/>
        <w:t xml:space="preserve">отчетности, составленной в соответствии с требованиями МСФО, для последующего одобрения данной кандидатуры Общим собранием акционеров Общества; </w:t>
      </w:r>
    </w:p>
    <w:p w14:paraId="58F156BF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3.1.4.3. подготовка для Совета директоров рекомендаций о предельном размере вознаграждения Аудитора Общества, виде и объеме его услуг; </w:t>
      </w:r>
    </w:p>
    <w:p w14:paraId="3D99C6BD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3.1.4.4. анализ и обсуждение совместно с Аудитором Общества существенных вопросов, возникших в результате проведения независимого внешнего аудита Общества; Положение о Комитете по аудиту Совета директоров ПАО</w:t>
      </w:r>
      <w:r w:rsidR="008C43D6" w:rsidRPr="00EB023D">
        <w:rPr>
          <w:b/>
          <w:bCs/>
          <w:i/>
          <w:iCs/>
        </w:rPr>
        <w:t xml:space="preserve"> «</w:t>
      </w:r>
      <w:r w:rsidRPr="00EB023D">
        <w:rPr>
          <w:b/>
          <w:bCs/>
          <w:i/>
          <w:iCs/>
        </w:rPr>
        <w:t>Казаньоргсинтез</w:t>
      </w:r>
      <w:r w:rsidR="008C43D6" w:rsidRPr="00EB023D">
        <w:rPr>
          <w:b/>
          <w:bCs/>
          <w:i/>
          <w:iCs/>
        </w:rPr>
        <w:t xml:space="preserve">» </w:t>
      </w:r>
    </w:p>
    <w:p w14:paraId="4F6A02F9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3.1.4.5. обсуждение с Аудитором Общества планов и состава работ по аудиту финансовой отчетности, вопросов организации его работы; </w:t>
      </w:r>
    </w:p>
    <w:p w14:paraId="3100DAC8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3.1.4.6. надзор за проведением внешнего аудита и оценка качества его выполнения; рассмотрение заключения Аудитора Общества до представления его акционерам на Общем собрании акционеров Общества; </w:t>
      </w:r>
    </w:p>
    <w:p w14:paraId="08D5F9B6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3.1.4.7. обеспечение эффективного взаимодействия между внутренним аудитом и Аудитором Общества. </w:t>
      </w:r>
    </w:p>
    <w:p w14:paraId="13D9606F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3.1.5. рассмотрение годового отчета Общества, вносимого на предварительное утверждение Совета директоров Общества и утверждение Общего собрания акционеров, и подготовка рекомендаций Совету директоров Общества по результатам его рассмотрения; </w:t>
      </w:r>
    </w:p>
    <w:p w14:paraId="15554756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3.1.6. подготовка рекомендаций Совету директоров Общества о размерах дивидендов по акциям и порядку их выплаты; </w:t>
      </w:r>
    </w:p>
    <w:p w14:paraId="039E6CE3" w14:textId="77777777" w:rsidR="004A5C67" w:rsidRPr="00EB023D" w:rsidRDefault="001539F1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3.1.7. </w:t>
      </w:r>
      <w:r w:rsidR="004A5C67" w:rsidRPr="00EB023D">
        <w:rPr>
          <w:b/>
          <w:bCs/>
          <w:i/>
          <w:iCs/>
        </w:rPr>
        <w:t xml:space="preserve">представление заключений (рекомендаций) Совету директоров по иным вопросам, включенным в повестку заседания Комитета по инициативе </w:t>
      </w:r>
      <w:r w:rsidR="00E87C1B" w:rsidRPr="00EB023D">
        <w:rPr>
          <w:b/>
          <w:bCs/>
          <w:i/>
          <w:iCs/>
        </w:rPr>
        <w:t>ч</w:t>
      </w:r>
      <w:r w:rsidR="008C43D6" w:rsidRPr="00EB023D">
        <w:rPr>
          <w:b/>
          <w:bCs/>
          <w:i/>
          <w:iCs/>
        </w:rPr>
        <w:t>лен</w:t>
      </w:r>
      <w:r w:rsidR="004A5C67" w:rsidRPr="00EB023D">
        <w:rPr>
          <w:b/>
          <w:bCs/>
          <w:i/>
          <w:iCs/>
        </w:rPr>
        <w:t xml:space="preserve">а Комитета; </w:t>
      </w:r>
    </w:p>
    <w:p w14:paraId="6FC3EE3E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3.1.8. рассмотрение письменных отчетов, сообщений Ревизионной комиссии Общества о выявленных за соответствующий период деятельности Общества нарушениях и подготовка рекомендаций Совету директоров Общества о способах предупреждения подобных нарушений в будущем; </w:t>
      </w:r>
    </w:p>
    <w:p w14:paraId="4A97C00D" w14:textId="77777777" w:rsidR="004A5C67" w:rsidRPr="00EB023D" w:rsidRDefault="004A5C67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3.1.9. в рамках компетенции Совета директоров, предварительное рассмотрение документов по вопросам повестки дня заседаний Совета директоров Общества, связанных с внутренним контролем, управлением рисками, внутренним и внешним аудитом Общества, включая предварительное рассмотрение вопросов по утверждению положения о внутреннем аудите, плана деятельности внутреннего аудита, утверждению бюджета внутреннего аудита, рассмотрение отчетов о деятельности внутреннего аудита, выполнения плана деятельности внутреннего аудита.</w:t>
      </w:r>
    </w:p>
    <w:p w14:paraId="3AAF928E" w14:textId="77777777" w:rsidR="004A5C67" w:rsidRPr="00EB023D" w:rsidRDefault="004A5C67" w:rsidP="008520E3">
      <w:pPr>
        <w:jc w:val="both"/>
        <w:rPr>
          <w:b/>
          <w:bCs/>
          <w:i/>
          <w:iCs/>
        </w:rPr>
      </w:pPr>
    </w:p>
    <w:p w14:paraId="7C9637A3" w14:textId="4E864D78" w:rsidR="004A5C67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В своей деятельности Комитет по аудиту подотчетен Совету директоров </w:t>
      </w:r>
      <w:r w:rsidR="00861E67" w:rsidRPr="00EB023D">
        <w:rPr>
          <w:b/>
          <w:bCs/>
          <w:i/>
          <w:iCs/>
        </w:rPr>
        <w:t>Э</w:t>
      </w:r>
      <w:r w:rsidR="008E2625" w:rsidRPr="00EB023D">
        <w:rPr>
          <w:b/>
          <w:bCs/>
          <w:i/>
          <w:iCs/>
        </w:rPr>
        <w:t>митента.</w:t>
      </w:r>
    </w:p>
    <w:p w14:paraId="1156E5BD" w14:textId="2063417C" w:rsidR="00C61030" w:rsidRDefault="00C61030" w:rsidP="008520E3">
      <w:pPr>
        <w:jc w:val="both"/>
        <w:rPr>
          <w:b/>
          <w:bCs/>
          <w:i/>
          <w:iCs/>
        </w:rPr>
      </w:pPr>
    </w:p>
    <w:p w14:paraId="5595E104" w14:textId="77777777" w:rsidR="00A8488A" w:rsidRPr="009C0487" w:rsidRDefault="00A8488A" w:rsidP="00A8488A">
      <w:pPr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Количественный состав Комитета Совета директоров по аудиту – 5 членов.</w:t>
      </w:r>
    </w:p>
    <w:p w14:paraId="1AD4000D" w14:textId="77777777" w:rsidR="00A8488A" w:rsidRPr="00EB023D" w:rsidRDefault="00A8488A" w:rsidP="008520E3">
      <w:pPr>
        <w:jc w:val="both"/>
        <w:rPr>
          <w:b/>
          <w:bCs/>
          <w:i/>
          <w:iCs/>
        </w:rPr>
      </w:pPr>
    </w:p>
    <w:p w14:paraId="453628B9" w14:textId="5C5278B9" w:rsidR="00336EAE" w:rsidRPr="00EB023D" w:rsidRDefault="008E2625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Согласно п.1.2</w:t>
      </w:r>
      <w:r w:rsidR="00C94F86">
        <w:rPr>
          <w:b/>
          <w:bCs/>
          <w:i/>
          <w:iCs/>
        </w:rPr>
        <w:t>. ст.</w:t>
      </w:r>
      <w:r w:rsidRPr="00EB023D">
        <w:rPr>
          <w:b/>
          <w:bCs/>
          <w:i/>
          <w:iCs/>
        </w:rPr>
        <w:t>1.</w:t>
      </w:r>
      <w:r w:rsidR="00336EAE" w:rsidRPr="00EB023D">
        <w:rPr>
          <w:b/>
          <w:bCs/>
          <w:i/>
          <w:iCs/>
        </w:rPr>
        <w:t xml:space="preserve"> Положения о Комитете </w:t>
      </w:r>
      <w:r w:rsidRPr="00EB023D">
        <w:rPr>
          <w:b/>
          <w:bCs/>
          <w:i/>
          <w:iCs/>
        </w:rPr>
        <w:t xml:space="preserve">по аудиту </w:t>
      </w:r>
      <w:r w:rsidR="00594CD0" w:rsidRPr="00EB023D">
        <w:rPr>
          <w:b/>
          <w:bCs/>
          <w:i/>
          <w:iCs/>
        </w:rPr>
        <w:t>Совета директоров ПАО</w:t>
      </w:r>
      <w:r w:rsidR="00151C6C" w:rsidRPr="00EB023D">
        <w:rPr>
          <w:b/>
          <w:bCs/>
          <w:i/>
          <w:iCs/>
        </w:rPr>
        <w:t> </w:t>
      </w:r>
      <w:r w:rsidR="008C43D6" w:rsidRPr="00EB023D">
        <w:rPr>
          <w:b/>
          <w:bCs/>
          <w:i/>
          <w:iCs/>
        </w:rPr>
        <w:t>«</w:t>
      </w:r>
      <w:r w:rsidR="00336EAE" w:rsidRPr="00EB023D">
        <w:rPr>
          <w:b/>
          <w:bCs/>
          <w:i/>
          <w:iCs/>
        </w:rPr>
        <w:t xml:space="preserve">Казаньоргсинтез», </w:t>
      </w:r>
      <w:r w:rsidRPr="00EB023D">
        <w:rPr>
          <w:b/>
          <w:bCs/>
          <w:i/>
          <w:iCs/>
        </w:rPr>
        <w:t>Комитет по аудиту Совета директоров Общества создан с целью предварительного рассмотрения вопросов, связанных с контролем за финансово-хозяйственной деятельностью Общества, в том числе с оценкой независимости Аудитора Общества и отсутствием у него конфликта интересов, а также с оценкой качества проведения аудита бухгалтерской (финансовой) отчетности Общества, анализа эффективности работы системы внутреннего контроля и управления рисками Общества, внутреннего и внешнего аудита Общества и подготовки рекомендаций Совету директоров при принятии решений по данным вопросам</w:t>
      </w:r>
      <w:r w:rsidR="00594CD0" w:rsidRPr="00EB023D">
        <w:rPr>
          <w:b/>
          <w:bCs/>
          <w:i/>
          <w:iCs/>
        </w:rPr>
        <w:t>.</w:t>
      </w:r>
    </w:p>
    <w:p w14:paraId="04A9F2FC" w14:textId="77777777" w:rsidR="00A8488A" w:rsidRDefault="00A8488A" w:rsidP="00A8488A">
      <w:pPr>
        <w:jc w:val="both"/>
        <w:rPr>
          <w:b/>
          <w:bCs/>
          <w:i/>
          <w:iCs/>
        </w:rPr>
      </w:pPr>
    </w:p>
    <w:p w14:paraId="20EA5B99" w14:textId="048530B3" w:rsidR="00A8488A" w:rsidRPr="00EB023D" w:rsidRDefault="00A8488A" w:rsidP="00A8488A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Сведения о составе Комитета по аудиту Совета директоров не раскрываются.</w:t>
      </w:r>
    </w:p>
    <w:p w14:paraId="2889BDB9" w14:textId="77777777" w:rsidR="00673112" w:rsidRPr="00EB023D" w:rsidRDefault="00673112" w:rsidP="008520E3">
      <w:pPr>
        <w:jc w:val="both"/>
        <w:rPr>
          <w:b/>
          <w:bCs/>
          <w:i/>
          <w:iCs/>
        </w:rPr>
      </w:pPr>
    </w:p>
    <w:p w14:paraId="16A37123" w14:textId="77777777" w:rsidR="00336EAE" w:rsidRPr="00EB023D" w:rsidRDefault="00336EAE" w:rsidP="008520E3">
      <w:pPr>
        <w:jc w:val="both"/>
      </w:pPr>
      <w:r w:rsidRPr="00EB023D">
        <w:t>Информация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 w:rsidRPr="00EB023D">
        <w:br/>
      </w:r>
      <w:r w:rsidRPr="00EB023D">
        <w:rPr>
          <w:b/>
          <w:bCs/>
          <w:i/>
          <w:iCs/>
        </w:rPr>
        <w:t>отдельное структурное подразделение по управлению рисками и (или) внутреннему контролю - отсутствует, следовательно, указать задачи, функции указанного структурного подразделения не представляется возможным.</w:t>
      </w:r>
    </w:p>
    <w:p w14:paraId="6623FF7A" w14:textId="77777777" w:rsidR="00791848" w:rsidRPr="00EB023D" w:rsidRDefault="00791848" w:rsidP="008520E3">
      <w:pPr>
        <w:jc w:val="both"/>
      </w:pPr>
    </w:p>
    <w:p w14:paraId="1737F980" w14:textId="54D0B7B2" w:rsidR="00314C02" w:rsidRPr="00EB023D" w:rsidRDefault="00336EAE" w:rsidP="008520E3">
      <w:pPr>
        <w:jc w:val="both"/>
        <w:rPr>
          <w:b/>
          <w:bCs/>
          <w:i/>
          <w:iCs/>
        </w:rPr>
      </w:pPr>
      <w:r w:rsidRPr="00EB023D">
        <w:t xml:space="preserve">Информация о наличии структурного подразделения (должностного лица), ответственного за организацию </w:t>
      </w:r>
      <w:r w:rsidRPr="00EB023D">
        <w:lastRenderedPageBreak/>
        <w:t>и осуществление внутреннего аудита, а также задачах и функциях указанного структурного подразделения (должностного лица):</w:t>
      </w:r>
      <w:r w:rsidRPr="00EB023D">
        <w:br/>
      </w:r>
      <w:r w:rsidRPr="00EB023D">
        <w:rPr>
          <w:b/>
          <w:bCs/>
          <w:i/>
          <w:iCs/>
        </w:rPr>
        <w:t>Эмитентом создано Управление внутреннего аудита, действующее на основании Положения об внутренне</w:t>
      </w:r>
      <w:r w:rsidR="00314C02" w:rsidRPr="00EB023D">
        <w:rPr>
          <w:b/>
          <w:bCs/>
          <w:i/>
          <w:iCs/>
        </w:rPr>
        <w:t>м аудите</w:t>
      </w:r>
      <w:r w:rsidRPr="00EB023D">
        <w:rPr>
          <w:b/>
          <w:bCs/>
          <w:i/>
          <w:iCs/>
        </w:rPr>
        <w:t>.</w:t>
      </w:r>
      <w:r w:rsidRPr="00EB023D">
        <w:rPr>
          <w:b/>
          <w:bCs/>
          <w:i/>
          <w:iCs/>
        </w:rPr>
        <w:br/>
        <w:t>К задачам внутреннего аудита относится:</w:t>
      </w:r>
    </w:p>
    <w:p w14:paraId="596B564D" w14:textId="77777777" w:rsidR="00314C02" w:rsidRPr="00EB023D" w:rsidRDefault="00314C02" w:rsidP="00A235B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EB023D">
        <w:rPr>
          <w:b/>
          <w:i/>
        </w:rPr>
        <w:t xml:space="preserve">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контроля, корпоративному управлению Обществом; </w:t>
      </w:r>
    </w:p>
    <w:p w14:paraId="05DAA7A9" w14:textId="77777777" w:rsidR="00314C02" w:rsidRPr="00EB023D" w:rsidRDefault="00314C02" w:rsidP="00A235B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EB023D">
        <w:rPr>
          <w:b/>
          <w:i/>
        </w:rPr>
        <w:t>координация деятельности с внешними аудиторами Общества, а также лицами, оказывающими услуги по консультированию в области управления рисками, внутреннего контроля и корпоративного управления; Положение о внутреннем аудите ПАО</w:t>
      </w:r>
      <w:r w:rsidR="00E61D42" w:rsidRPr="00EB023D">
        <w:rPr>
          <w:b/>
          <w:i/>
        </w:rPr>
        <w:t> </w:t>
      </w:r>
      <w:r w:rsidR="008C43D6" w:rsidRPr="00EB023D">
        <w:rPr>
          <w:b/>
          <w:i/>
        </w:rPr>
        <w:t>«</w:t>
      </w:r>
      <w:r w:rsidRPr="00EB023D">
        <w:rPr>
          <w:b/>
          <w:i/>
        </w:rPr>
        <w:t>Казаньоргсинтез</w:t>
      </w:r>
      <w:r w:rsidR="008C43D6" w:rsidRPr="00EB023D">
        <w:rPr>
          <w:b/>
          <w:i/>
        </w:rPr>
        <w:t xml:space="preserve">» </w:t>
      </w:r>
    </w:p>
    <w:p w14:paraId="305EB026" w14:textId="77777777" w:rsidR="00314C02" w:rsidRPr="00EB023D" w:rsidRDefault="00314C02" w:rsidP="00A235B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EB023D">
        <w:rPr>
          <w:b/>
          <w:i/>
        </w:rPr>
        <w:t xml:space="preserve">проведение в рамках установленного порядка внутреннего аудита различных областей деятельности Общества и его дочерних и зависимых обществ; </w:t>
      </w:r>
    </w:p>
    <w:p w14:paraId="3B986CA9" w14:textId="77777777" w:rsidR="00314C02" w:rsidRPr="00EB023D" w:rsidRDefault="00314C02" w:rsidP="00A235B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EB023D">
        <w:rPr>
          <w:b/>
          <w:i/>
        </w:rPr>
        <w:t>подготовка и предоставление Совету директоров и исполнительным органам Общества отчетов по результатам деятельности подразделения внутреннего аудита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контроля и корпоративного управления).</w:t>
      </w:r>
    </w:p>
    <w:p w14:paraId="618D547A" w14:textId="4FF51096" w:rsidR="00EF3FD9" w:rsidRPr="00EB023D" w:rsidRDefault="00314C02" w:rsidP="008520E3">
      <w:pPr>
        <w:jc w:val="both"/>
      </w:pPr>
      <w:r w:rsidRPr="00EB023D">
        <w:rPr>
          <w:b/>
          <w:bCs/>
          <w:i/>
          <w:iCs/>
        </w:rPr>
        <w:br/>
      </w:r>
      <w:r w:rsidR="00FF6B1B" w:rsidRPr="00EB023D">
        <w:rPr>
          <w:b/>
          <w:bCs/>
          <w:i/>
          <w:iCs/>
        </w:rPr>
        <w:t xml:space="preserve">Согласно Положению о Комитете </w:t>
      </w:r>
      <w:r w:rsidR="00471FD9" w:rsidRPr="00EB023D">
        <w:rPr>
          <w:b/>
          <w:bCs/>
          <w:i/>
          <w:iCs/>
        </w:rPr>
        <w:t xml:space="preserve">по аудиту </w:t>
      </w:r>
      <w:r w:rsidR="00FF6B1B" w:rsidRPr="00EB023D">
        <w:rPr>
          <w:b/>
          <w:bCs/>
          <w:i/>
          <w:iCs/>
        </w:rPr>
        <w:t>Совета директоров, в</w:t>
      </w:r>
      <w:r w:rsidR="00EF3FD9" w:rsidRPr="00EB023D">
        <w:rPr>
          <w:b/>
          <w:bCs/>
          <w:i/>
          <w:iCs/>
        </w:rPr>
        <w:t>нутренний аудит Эмитента осуществляет следующие функции:</w:t>
      </w:r>
      <w:r w:rsidR="00EF3FD9" w:rsidRPr="00EB023D">
        <w:t xml:space="preserve"> </w:t>
      </w:r>
    </w:p>
    <w:p w14:paraId="05EEB84C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 оценка эффективности системы внутреннего контроля, которая включает в себя, помимо прочего: </w:t>
      </w:r>
    </w:p>
    <w:p w14:paraId="3220E545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3.3.1.1. проведение анализа соответствия целей бизнес-процессов, проектов и структурных подразделений целям Общества; </w:t>
      </w:r>
    </w:p>
    <w:p w14:paraId="3308619B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3.3.1.2. проверку обеспечения </w:t>
      </w:r>
      <w:r w:rsidR="000D1F73" w:rsidRPr="00EB023D">
        <w:rPr>
          <w:b/>
          <w:bCs/>
          <w:i/>
          <w:iCs/>
        </w:rPr>
        <w:t>надежности и целостности бизнес-</w:t>
      </w:r>
      <w:r w:rsidRPr="00EB023D">
        <w:rPr>
          <w:b/>
          <w:bCs/>
          <w:i/>
          <w:iCs/>
        </w:rPr>
        <w:t xml:space="preserve">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 </w:t>
      </w:r>
    </w:p>
    <w:p w14:paraId="63955378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3.3.1.3. проверку процедур по обеспечению достоверности бухгалтерской (финансовой), статистической, управленческой и иной отчетности; </w:t>
      </w:r>
    </w:p>
    <w:p w14:paraId="72B00C77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3.3.1.4. проверку обоснованности критериев, установленных исполнительными органами для анализа степени исполнения (достижения) поставленных целей; </w:t>
      </w:r>
    </w:p>
    <w:p w14:paraId="66DB2451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3.3.1.5. выявление недостатков системы внутреннего контроля, которые не позволили (не позволяют) Обществу достичь поставленных целей; </w:t>
      </w:r>
    </w:p>
    <w:p w14:paraId="000D37A2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3.3.1.6. предоставление рекомендаций по совершенствованию системы внутреннего контроля; </w:t>
      </w:r>
    </w:p>
    <w:p w14:paraId="161BED2A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3.3.1.7. оценку результатов внедрения (реализации) мероприятий по устранению нарушений, недостатков и совершенствованию системы внутреннего контроля, реализуемых Обществом на всех уровнях управления; </w:t>
      </w:r>
    </w:p>
    <w:p w14:paraId="48661749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3.3.1.8. проверку соблюдения процедур, связанных с обеспечением сохранности активов; </w:t>
      </w:r>
    </w:p>
    <w:p w14:paraId="0F982767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3.3.1.9. проверку соблюдения процедур системы внутреннего контроля требованиям законодательства, устава и внутренних документов Общества; </w:t>
      </w:r>
    </w:p>
    <w:p w14:paraId="2BB8CEDE" w14:textId="77777777" w:rsidR="00471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3.3.2. оценка эффективности системы управления рисками, которая включает в себя, помимо прочего: </w:t>
      </w:r>
    </w:p>
    <w:p w14:paraId="5B2C608D" w14:textId="5201D798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3.3.2.1. проверку достаточности и уровня развития элементов системы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Общества в рамках системы управления рисками, отчетность); </w:t>
      </w:r>
    </w:p>
    <w:p w14:paraId="5080DBA9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3.3.2.2. проверку полноты выявления и корректности оценки рисков Обществом на всех уровнях его управления; </w:t>
      </w:r>
    </w:p>
    <w:p w14:paraId="7A77C572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3.3.2.3. 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 </w:t>
      </w:r>
    </w:p>
    <w:p w14:paraId="5FDEAB8F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3.3.2.4. проведение анализа информации о реализовавшихся рисках (выявленных по результатам </w:t>
      </w:r>
      <w:r w:rsidRPr="00EB023D">
        <w:rPr>
          <w:b/>
          <w:bCs/>
          <w:i/>
          <w:iCs/>
        </w:rPr>
        <w:lastRenderedPageBreak/>
        <w:t>внутренних аудиторских проверок нарушениях, фактах недостижения</w:t>
      </w:r>
      <w:r w:rsidR="00EF34C0" w:rsidRPr="00EB023D">
        <w:rPr>
          <w:b/>
          <w:bCs/>
          <w:i/>
          <w:iCs/>
        </w:rPr>
        <w:t xml:space="preserve"> </w:t>
      </w:r>
      <w:r w:rsidRPr="00EB023D">
        <w:rPr>
          <w:b/>
          <w:bCs/>
          <w:i/>
          <w:iCs/>
        </w:rPr>
        <w:t xml:space="preserve">поставленных целей, фактах судебных разбирательств); </w:t>
      </w:r>
    </w:p>
    <w:p w14:paraId="7C68849B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3.3.2.5. предоставление рекомендаций по совершенствованию системы управления рисками; </w:t>
      </w:r>
    </w:p>
    <w:p w14:paraId="50B43195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3.3.3. оценка корпоративного управления, которая включает в себя, помимо прочего: </w:t>
      </w:r>
    </w:p>
    <w:p w14:paraId="2BDF03F6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3.3.3.1. проверку соблюдения и продвижения в Обществе этических принципов и корпоративных ценностей Общества; </w:t>
      </w:r>
    </w:p>
    <w:p w14:paraId="25A7BE40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3.3.3.2. проверку соблюдения процедур, связанных с постановкой целей Общества, мониторинга и контроля их достижения; </w:t>
      </w:r>
    </w:p>
    <w:p w14:paraId="2F3A5479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3.3.3.3. проверку соблюдения процедур, связанных с нормативным обеспечением и процедур информационного взаимодействия (в том числе по вопросам внутреннего контроля и управления рисками) на всех уровнях управления Общества, включая взаимодействие с заинтересованными сторонами; </w:t>
      </w:r>
    </w:p>
    <w:p w14:paraId="6BC77AC6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3.3.3.4. проверку соблюдения процедур, связанных с осуществлением надзора за системой управления рисками и внутреннего контроля; </w:t>
      </w:r>
    </w:p>
    <w:p w14:paraId="5EBDEF72" w14:textId="77777777" w:rsidR="00EF34C0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3.3.3.5. проверку соблюдения процедур, обеспечивающих реализацию прав и законных интересов акционеров Общества, и эффективности взаимоотношений Общества с заинтересованными сторонами; </w:t>
      </w:r>
    </w:p>
    <w:p w14:paraId="3797C972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3.3.3.6. проверку соблюдения процедур, связанных с обязательным раскрытием информации о деятельности Общества; </w:t>
      </w:r>
    </w:p>
    <w:p w14:paraId="5517FCDE" w14:textId="77777777" w:rsidR="00EF3FD9" w:rsidRPr="00EB023D" w:rsidRDefault="00EF3FD9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3.3.4. осуществление других функций, необходимых для решения задач, поставленных перед внутренним аудитом.</w:t>
      </w:r>
    </w:p>
    <w:p w14:paraId="144CC46A" w14:textId="77777777" w:rsidR="00EF3FD9" w:rsidRPr="00EB023D" w:rsidRDefault="00EF3FD9" w:rsidP="008520E3">
      <w:pPr>
        <w:jc w:val="both"/>
      </w:pPr>
    </w:p>
    <w:p w14:paraId="6017E255" w14:textId="0FAF8C1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t>Информация о наличии и компетенции ревизионной комиссии (ревизора):</w:t>
      </w:r>
      <w:r w:rsidRPr="00EB023D">
        <w:br/>
      </w:r>
      <w:r w:rsidRPr="00EB023D">
        <w:rPr>
          <w:b/>
          <w:bCs/>
          <w:i/>
          <w:iCs/>
        </w:rPr>
        <w:t xml:space="preserve">В Обществе действует Ревизионная комиссия, которая согласно устава </w:t>
      </w:r>
      <w:r w:rsidR="00861E67" w:rsidRPr="00EB023D">
        <w:rPr>
          <w:b/>
          <w:bCs/>
          <w:i/>
          <w:iCs/>
        </w:rPr>
        <w:t>Э</w:t>
      </w:r>
      <w:r w:rsidRPr="00EB023D">
        <w:rPr>
          <w:b/>
          <w:bCs/>
          <w:i/>
          <w:iCs/>
        </w:rPr>
        <w:t xml:space="preserve">митента состоит из 5 (Пяти) человек и избирается Общим собранием акционеров на срок до следующего годового Общего собрания акционеров, если внеочередным Общим собранием акционеров не принято решение о прекращении её полномочий. Голосование по выборам </w:t>
      </w:r>
      <w:r w:rsidR="00E87C1B" w:rsidRPr="00EB023D">
        <w:rPr>
          <w:b/>
          <w:bCs/>
          <w:i/>
          <w:iCs/>
        </w:rPr>
        <w:t>ч</w:t>
      </w:r>
      <w:r w:rsidR="008C43D6" w:rsidRPr="00EB023D">
        <w:rPr>
          <w:b/>
          <w:bCs/>
          <w:i/>
          <w:iCs/>
        </w:rPr>
        <w:t>лен</w:t>
      </w:r>
      <w:r w:rsidRPr="00EB023D">
        <w:rPr>
          <w:b/>
          <w:bCs/>
          <w:i/>
          <w:iCs/>
        </w:rPr>
        <w:t xml:space="preserve">ов Ревизионной комиссии Общества проводится по каждому кандидату отдельно. Избранными в Ревизионную комиссию Общества считаются кандидаты, набравшие наибольшее количество голосов акционеров, участвовавших в голосовании по данному вопросу повестки дня Общего собрания акционеров. Представители Республики Татарстан, назначенные в Ревизионную комиссию Общества, входят в количественный состав Ревизионной комиссии Общества. Места представителей Республики Татарстан в Ревизионной комиссии Общества не учитываются при избрании </w:t>
      </w:r>
      <w:r w:rsidR="00E87C1B" w:rsidRPr="00EB023D">
        <w:rPr>
          <w:b/>
          <w:bCs/>
          <w:i/>
          <w:iCs/>
        </w:rPr>
        <w:t>ч</w:t>
      </w:r>
      <w:r w:rsidR="008C43D6" w:rsidRPr="00EB023D">
        <w:rPr>
          <w:b/>
          <w:bCs/>
          <w:i/>
          <w:iCs/>
        </w:rPr>
        <w:t>лен</w:t>
      </w:r>
      <w:r w:rsidRPr="00EB023D">
        <w:rPr>
          <w:b/>
          <w:bCs/>
          <w:i/>
          <w:iCs/>
        </w:rPr>
        <w:t>ов Ревизионной комиссии Общества. Порядок деятельности Ревизионной комиссии определяется Положением о Ревизионной комиссии Общества, утверждаемым Общим со</w:t>
      </w:r>
      <w:r w:rsidR="0082530E">
        <w:rPr>
          <w:b/>
          <w:bCs/>
          <w:i/>
          <w:iCs/>
        </w:rPr>
        <w:t>бранием акционеров.</w:t>
      </w:r>
      <w:r w:rsidR="0082530E">
        <w:rPr>
          <w:b/>
          <w:bCs/>
          <w:i/>
          <w:iCs/>
        </w:rPr>
        <w:br/>
        <w:t>Согласно п.</w:t>
      </w:r>
      <w:r w:rsidRPr="00EB023D">
        <w:rPr>
          <w:b/>
          <w:bCs/>
          <w:i/>
          <w:iCs/>
        </w:rPr>
        <w:t>28.3. Устава, утвержденн</w:t>
      </w:r>
      <w:r w:rsidR="00861E67" w:rsidRPr="00EB023D">
        <w:rPr>
          <w:b/>
          <w:bCs/>
          <w:i/>
          <w:iCs/>
        </w:rPr>
        <w:t xml:space="preserve">ого Общим собранием </w:t>
      </w:r>
      <w:r w:rsidR="0082530E">
        <w:rPr>
          <w:b/>
          <w:bCs/>
          <w:i/>
          <w:iCs/>
        </w:rPr>
        <w:t>Согласно п.</w:t>
      </w:r>
      <w:r w:rsidR="0082530E" w:rsidRPr="00EB023D">
        <w:rPr>
          <w:b/>
          <w:bCs/>
          <w:i/>
          <w:iCs/>
        </w:rPr>
        <w:t xml:space="preserve">28.3. Устава, утвержденного Общим собранием </w:t>
      </w:r>
      <w:r w:rsidR="00861E67" w:rsidRPr="00EB023D">
        <w:rPr>
          <w:b/>
          <w:bCs/>
          <w:i/>
          <w:iCs/>
        </w:rPr>
        <w:t>акционеров Э</w:t>
      </w:r>
      <w:r w:rsidRPr="00EB023D">
        <w:rPr>
          <w:b/>
          <w:bCs/>
          <w:i/>
          <w:iCs/>
        </w:rPr>
        <w:t>митента (</w:t>
      </w:r>
      <w:r w:rsidR="003C7FC9" w:rsidRPr="003C7FC9">
        <w:rPr>
          <w:b/>
          <w:bCs/>
          <w:i/>
          <w:iCs/>
        </w:rPr>
        <w:t>протокол №02 от 03.07.2023</w:t>
      </w:r>
      <w:r w:rsidRPr="00EB023D">
        <w:rPr>
          <w:b/>
          <w:bCs/>
          <w:i/>
          <w:iCs/>
        </w:rPr>
        <w:t>), к компетенции Ревизионной комиссии Общества относятся:</w:t>
      </w:r>
    </w:p>
    <w:p w14:paraId="0F52D031" w14:textId="7777777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1)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 </w:t>
      </w:r>
    </w:p>
    <w:p w14:paraId="77099E32" w14:textId="7777777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2) проверка своевременности и правильности ведения расчетных операций с контрагентами, бюджетом, а также по оплате труда, социальному страхованию, начислению и выплате дивидендов и других расчетных операций; </w:t>
      </w:r>
    </w:p>
    <w:p w14:paraId="4706DF6C" w14:textId="7777777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3) проверка соблюдения при использовании материальных, трудовых и финансовых ресурсов в производственной и финансово-хозяйственной деятельности действующих норм и нормативов, утвержденных смет и других документов, регламентирующих деятельность Общества, а также выполнения решений Общего собрания акционеров; </w:t>
      </w:r>
    </w:p>
    <w:p w14:paraId="6DB6046E" w14:textId="7777777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4) проверка законности хозяйственных операций Общества, осуществляемых по заключенным от имени Общества договорам и сделкам; </w:t>
      </w:r>
    </w:p>
    <w:p w14:paraId="7AD4D3C3" w14:textId="7777777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5) проверка эффективности использования активов, денежных средств, имущества и иных ресурсов Общества, выявление причин непроизводительных потерь и расходов; </w:t>
      </w:r>
    </w:p>
    <w:p w14:paraId="51CCDDF2" w14:textId="7777777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6) проверка выполнения предписаний по устранению нарушений и недостатков, ранее выявленных Ревизионной комиссией; </w:t>
      </w:r>
    </w:p>
    <w:p w14:paraId="3B6B5B5D" w14:textId="77777777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7) проверка соответствия решений по вопросам финансово-хозяйственной деятельности, </w:t>
      </w:r>
      <w:r w:rsidRPr="00EB023D">
        <w:rPr>
          <w:b/>
          <w:bCs/>
          <w:i/>
          <w:iCs/>
        </w:rPr>
        <w:lastRenderedPageBreak/>
        <w:t xml:space="preserve">принимаемых Советом директоров и Правлением, Уставу Общества и решениям Общего собрания акционеров. </w:t>
      </w:r>
    </w:p>
    <w:p w14:paraId="209CDF72" w14:textId="77777777" w:rsidR="00336EAE" w:rsidRPr="00EB023D" w:rsidRDefault="00336EAE" w:rsidP="008520E3">
      <w:pPr>
        <w:jc w:val="both"/>
      </w:pPr>
    </w:p>
    <w:p w14:paraId="3D34D807" w14:textId="571B2CC4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t>Политика эмитента в области управления рисками, внутреннего контроля и внутреннего аудита:</w:t>
      </w:r>
      <w:r w:rsidRPr="00EB023D">
        <w:br/>
      </w:r>
      <w:r w:rsidRPr="00EB023D">
        <w:rPr>
          <w:b/>
          <w:bCs/>
          <w:i/>
          <w:iCs/>
        </w:rPr>
        <w:t>В обществе организована система управления рисками и внутреннего контроля. Принципы и подходы определены в Политике в области управления рисками и внутреннего контроля ПАО</w:t>
      </w:r>
      <w:r w:rsidR="002A5239" w:rsidRPr="00EB023D">
        <w:rPr>
          <w:b/>
          <w:bCs/>
          <w:i/>
          <w:iCs/>
        </w:rPr>
        <w:t> </w:t>
      </w:r>
      <w:r w:rsidR="008C43D6" w:rsidRPr="00EB023D">
        <w:rPr>
          <w:b/>
          <w:bCs/>
          <w:i/>
          <w:iCs/>
        </w:rPr>
        <w:t>«</w:t>
      </w:r>
      <w:r w:rsidRPr="00EB023D">
        <w:rPr>
          <w:b/>
          <w:bCs/>
          <w:i/>
          <w:iCs/>
        </w:rPr>
        <w:t>Казаньоргсинтез», утверждённой Советом директоров ПАО</w:t>
      </w:r>
      <w:r w:rsidR="008C43D6" w:rsidRPr="00EB023D">
        <w:rPr>
          <w:b/>
          <w:bCs/>
          <w:i/>
          <w:iCs/>
        </w:rPr>
        <w:t xml:space="preserve"> «</w:t>
      </w:r>
      <w:r w:rsidRPr="00EB023D">
        <w:rPr>
          <w:b/>
          <w:bCs/>
          <w:i/>
          <w:iCs/>
        </w:rPr>
        <w:t>Казаньоргсинтез». Политика в области управления рисками и внутреннего контроля ПАО</w:t>
      </w:r>
      <w:r w:rsidR="008C43D6" w:rsidRPr="00EB023D">
        <w:rPr>
          <w:b/>
          <w:bCs/>
          <w:i/>
          <w:iCs/>
        </w:rPr>
        <w:t xml:space="preserve"> «</w:t>
      </w:r>
      <w:r w:rsidRPr="00EB023D">
        <w:rPr>
          <w:b/>
          <w:bCs/>
          <w:i/>
          <w:iCs/>
        </w:rPr>
        <w:t>Казаньоргсинтез</w:t>
      </w:r>
      <w:r w:rsidR="008C43D6" w:rsidRPr="00EB023D">
        <w:rPr>
          <w:b/>
          <w:bCs/>
          <w:i/>
          <w:iCs/>
        </w:rPr>
        <w:t xml:space="preserve">» </w:t>
      </w:r>
      <w:r w:rsidRPr="00EB023D">
        <w:rPr>
          <w:b/>
          <w:bCs/>
          <w:i/>
          <w:iCs/>
        </w:rPr>
        <w:t xml:space="preserve"> распространяется на все структурные подразделения ПАО</w:t>
      </w:r>
      <w:r w:rsidR="008C43D6" w:rsidRPr="00EB023D">
        <w:rPr>
          <w:b/>
          <w:bCs/>
          <w:i/>
          <w:iCs/>
        </w:rPr>
        <w:t xml:space="preserve"> «</w:t>
      </w:r>
      <w:r w:rsidRPr="00EB023D">
        <w:rPr>
          <w:b/>
          <w:bCs/>
          <w:i/>
          <w:iCs/>
        </w:rPr>
        <w:t>Казаньоргсинтез».</w:t>
      </w:r>
      <w:r w:rsidRPr="00EB023D">
        <w:rPr>
          <w:b/>
          <w:bCs/>
          <w:i/>
          <w:iCs/>
        </w:rPr>
        <w:br/>
        <w:t>Целью системы управления рисками и внутреннего контроля (далее - СУР и ВК) является обеспечение разумной уверенности в достижении стоящих перед Обществом стратегических целей, эффективности текущей финансово-хозяйственной и производственной деятельности Общества, сохранности его активов, своевременной подготовки достоверной отчетности Общества, соблюдение законодательства Российской Федерации, Устава и локальных нормативных актов Общества.</w:t>
      </w:r>
      <w:r w:rsidRPr="00EB023D">
        <w:rPr>
          <w:b/>
          <w:bCs/>
          <w:i/>
          <w:iCs/>
        </w:rPr>
        <w:br/>
        <w:t>Все должностные лица, руководители подразделений и каждый работник Общества обязаны выявлять и контролировать риски, планировать свои действия, исходя из оценки рисков для принятия оптимальных и рациональных бизнес-решений, нацеленных на достижение стратегических целей и операционных результатов соответствующих бизнес-направлений и Общества в целом.</w:t>
      </w:r>
      <w:r w:rsidRPr="00EB023D">
        <w:rPr>
          <w:b/>
          <w:bCs/>
          <w:i/>
          <w:iCs/>
        </w:rPr>
        <w:br/>
        <w:t>Поставленная цель достигается посредством создания и обеспечения функционирования системы управления рисками и внутреннего контроля, охватывающей ключевые бизнес-процессы, направления деятельности Общества и реализации мероприятий по их совершенствованию и развитию.</w:t>
      </w:r>
      <w:r w:rsidRPr="00EB023D">
        <w:rPr>
          <w:b/>
          <w:bCs/>
          <w:i/>
          <w:iCs/>
        </w:rPr>
        <w:br/>
        <w:t>Задачами СУР и ВК в части управления рисками в Обществе являются: своевременное выявление, анализ и оценка рисков, возникающих на всех организационных уровнях Общества, эффективное управление данными рисками, в том числе предотвращение реализации рисков, имеющих отрицательные последствия и снижение их до приемлемого уровня; информирование органов управления Общества по вопросам управления рисками; мониторинг влияния рисков на финансовую устойчивость, достижение стратегических целей и на репутацию Общества; совершенствование инфраструктуры и процесса управления рисками Общества, развитие культуры управления рисками в Обществе.</w:t>
      </w:r>
      <w:r w:rsidRPr="00EB023D">
        <w:rPr>
          <w:b/>
          <w:bCs/>
          <w:i/>
          <w:iCs/>
        </w:rPr>
        <w:br/>
        <w:t>Задачами СУР и ВК в части внутреннего контроля в Обществе являются: контроль достоверности финансовой отчетности в Обществе и соблюдения процедур ее подготовки; контроль соблюдения требований ведения бухгалтерского учета в Обществе; организация постоянного и периодического контроля за соответствием совершаемых в Обществе финансовых и хозяйственных операций интересам Общества; контроль соответствия условий договоров, заключаемых Обществом, утвержденной стратегии и финансово-хозяйственным планам Общества; контроль соблюдения законодательных и иных нормативных правовых актов, а также выполнения решений органов управления Общества.</w:t>
      </w:r>
      <w:r w:rsidRPr="00EB023D">
        <w:rPr>
          <w:b/>
          <w:bCs/>
          <w:i/>
          <w:iCs/>
        </w:rPr>
        <w:br/>
      </w:r>
      <w:r w:rsidRPr="00EB023D">
        <w:rPr>
          <w:b/>
          <w:bCs/>
          <w:i/>
          <w:iCs/>
        </w:rPr>
        <w:br/>
        <w:t>Положение об Управлении внутреннего аудита ПАО</w:t>
      </w:r>
      <w:r w:rsidR="008C43D6" w:rsidRPr="00EB023D">
        <w:rPr>
          <w:b/>
          <w:bCs/>
          <w:i/>
          <w:iCs/>
        </w:rPr>
        <w:t xml:space="preserve"> «</w:t>
      </w:r>
      <w:r w:rsidRPr="00EB023D">
        <w:rPr>
          <w:b/>
          <w:bCs/>
          <w:i/>
          <w:iCs/>
        </w:rPr>
        <w:t xml:space="preserve">Казаньоргсинтез», утвержденное Советом директоров </w:t>
      </w:r>
      <w:r w:rsidR="001F1959" w:rsidRPr="00EB023D">
        <w:rPr>
          <w:b/>
          <w:bCs/>
          <w:i/>
          <w:iCs/>
        </w:rPr>
        <w:t>Э</w:t>
      </w:r>
      <w:r w:rsidRPr="00EB023D">
        <w:rPr>
          <w:b/>
          <w:bCs/>
          <w:i/>
          <w:iCs/>
        </w:rPr>
        <w:t xml:space="preserve">митента </w:t>
      </w:r>
      <w:r w:rsidR="002E58F5" w:rsidRPr="00EB023D">
        <w:rPr>
          <w:b/>
          <w:bCs/>
          <w:i/>
          <w:iCs/>
        </w:rPr>
        <w:t>30.12.2022 (протокол №22</w:t>
      </w:r>
      <w:r w:rsidR="001F1959" w:rsidRPr="00EB023D">
        <w:rPr>
          <w:b/>
          <w:bCs/>
          <w:i/>
          <w:iCs/>
        </w:rPr>
        <w:t>) определяет политику Э</w:t>
      </w:r>
      <w:r w:rsidRPr="00EB023D">
        <w:rPr>
          <w:b/>
          <w:bCs/>
          <w:i/>
          <w:iCs/>
        </w:rPr>
        <w:t>митента в области организации и осуществления внутреннего аудита, в том числе цели и задачи внутреннего аудита.</w:t>
      </w:r>
    </w:p>
    <w:p w14:paraId="2F50668D" w14:textId="77777777" w:rsidR="00336EAE" w:rsidRPr="00EB023D" w:rsidRDefault="00336EAE" w:rsidP="008520E3">
      <w:pPr>
        <w:jc w:val="both"/>
      </w:pPr>
    </w:p>
    <w:p w14:paraId="3A7AF92D" w14:textId="3187E481" w:rsidR="00336EAE" w:rsidRPr="00EB023D" w:rsidRDefault="00336EAE" w:rsidP="008520E3">
      <w:pPr>
        <w:jc w:val="both"/>
        <w:rPr>
          <w:b/>
          <w:bCs/>
          <w:i/>
          <w:iCs/>
        </w:rPr>
      </w:pPr>
      <w:r w:rsidRPr="00EB023D">
        <w:t>Сведения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 w:rsidR="00ED00BF" w:rsidRPr="00EB023D">
        <w:t xml:space="preserve"> </w:t>
      </w:r>
      <w:r w:rsidR="001F1959" w:rsidRPr="00EB023D">
        <w:rPr>
          <w:b/>
          <w:bCs/>
          <w:i/>
          <w:iCs/>
        </w:rPr>
        <w:t>у Э</w:t>
      </w:r>
      <w:r w:rsidRPr="00EB023D">
        <w:rPr>
          <w:b/>
          <w:bCs/>
          <w:i/>
          <w:iCs/>
        </w:rPr>
        <w:t>митента имеются внутренние документы, устанавливающие правила по предотвращению неправомерного использования конфиденциальной и инсайдерской информации.</w:t>
      </w:r>
    </w:p>
    <w:p w14:paraId="1AB617E7" w14:textId="77777777" w:rsidR="00336EAE" w:rsidRPr="00EB023D" w:rsidRDefault="00336EAE" w:rsidP="008520E3">
      <w:pPr>
        <w:jc w:val="both"/>
      </w:pPr>
    </w:p>
    <w:p w14:paraId="56BFC99D" w14:textId="4B6DD151" w:rsidR="00336EAE" w:rsidRDefault="00336EAE" w:rsidP="008520E3">
      <w:pPr>
        <w:jc w:val="both"/>
        <w:rPr>
          <w:b/>
          <w:bCs/>
          <w:i/>
          <w:iCs/>
        </w:rPr>
      </w:pPr>
      <w:r w:rsidRPr="00EB023D">
        <w:t xml:space="preserve">Дополнительная информация: </w:t>
      </w:r>
      <w:r w:rsidRPr="00EB023D">
        <w:rPr>
          <w:b/>
          <w:bCs/>
          <w:i/>
          <w:iCs/>
        </w:rPr>
        <w:t>отсутствует.</w:t>
      </w:r>
    </w:p>
    <w:p w14:paraId="4F03EE03" w14:textId="42B3F9A1" w:rsidR="00A235B6" w:rsidRDefault="00A235B6" w:rsidP="008520E3">
      <w:pPr>
        <w:jc w:val="both"/>
        <w:rPr>
          <w:b/>
          <w:bCs/>
          <w:i/>
          <w:iCs/>
        </w:rPr>
      </w:pPr>
    </w:p>
    <w:p w14:paraId="0D7C7CF8" w14:textId="17C208B9" w:rsidR="00A235B6" w:rsidRDefault="00A235B6" w:rsidP="008520E3">
      <w:pPr>
        <w:jc w:val="both"/>
        <w:rPr>
          <w:b/>
          <w:bCs/>
          <w:i/>
          <w:iCs/>
        </w:rPr>
      </w:pPr>
    </w:p>
    <w:p w14:paraId="09D57129" w14:textId="7D991AC7" w:rsidR="00A235B6" w:rsidRDefault="00A235B6" w:rsidP="008520E3">
      <w:pPr>
        <w:jc w:val="both"/>
        <w:rPr>
          <w:b/>
          <w:bCs/>
          <w:i/>
          <w:iCs/>
        </w:rPr>
      </w:pPr>
    </w:p>
    <w:p w14:paraId="75A541F2" w14:textId="2675208D" w:rsidR="00A235B6" w:rsidRDefault="00A235B6" w:rsidP="008520E3">
      <w:pPr>
        <w:jc w:val="both"/>
        <w:rPr>
          <w:b/>
          <w:bCs/>
          <w:i/>
          <w:iCs/>
        </w:rPr>
      </w:pPr>
    </w:p>
    <w:p w14:paraId="766E8481" w14:textId="1C8B959F" w:rsidR="00A235B6" w:rsidRDefault="00A235B6" w:rsidP="008520E3">
      <w:pPr>
        <w:jc w:val="both"/>
        <w:rPr>
          <w:b/>
          <w:bCs/>
          <w:i/>
          <w:iCs/>
        </w:rPr>
      </w:pPr>
    </w:p>
    <w:p w14:paraId="31F7A3F8" w14:textId="36BB6CB5" w:rsidR="00A235B6" w:rsidRDefault="00A235B6" w:rsidP="008520E3">
      <w:pPr>
        <w:jc w:val="both"/>
        <w:rPr>
          <w:b/>
          <w:bCs/>
          <w:i/>
          <w:iCs/>
        </w:rPr>
      </w:pPr>
    </w:p>
    <w:p w14:paraId="4F461A78" w14:textId="77777777" w:rsidR="00A235B6" w:rsidRPr="00EB023D" w:rsidRDefault="00A235B6" w:rsidP="008520E3">
      <w:pPr>
        <w:jc w:val="both"/>
      </w:pPr>
    </w:p>
    <w:p w14:paraId="16A67DEE" w14:textId="74AA15CF" w:rsidR="00336EAE" w:rsidRPr="00EB023D" w:rsidRDefault="00336EAE" w:rsidP="00852103">
      <w:pPr>
        <w:pStyle w:val="2"/>
        <w:jc w:val="both"/>
      </w:pPr>
      <w:bookmarkStart w:id="30" w:name="_Toc115250331"/>
      <w:bookmarkStart w:id="31" w:name="_Toc164444106"/>
      <w:r w:rsidRPr="00EB023D"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bookmarkEnd w:id="30"/>
      <w:r w:rsidR="003413AF" w:rsidRPr="00EB023D">
        <w:rPr>
          <w:rStyle w:val="af7"/>
        </w:rPr>
        <w:footnoteReference w:id="3"/>
      </w:r>
      <w:bookmarkEnd w:id="31"/>
    </w:p>
    <w:p w14:paraId="359E8DFC" w14:textId="77777777" w:rsidR="00C61030" w:rsidRPr="00EB023D" w:rsidRDefault="00C61030" w:rsidP="00C61030">
      <w:pPr>
        <w:rPr>
          <w:b/>
          <w:i/>
        </w:rPr>
      </w:pPr>
      <w:bookmarkStart w:id="32" w:name="_Toc115250332"/>
      <w:r w:rsidRPr="00EB023D">
        <w:rPr>
          <w:b/>
          <w:i/>
        </w:rPr>
        <w:t>Информация не раскрывается.</w:t>
      </w:r>
    </w:p>
    <w:p w14:paraId="04D31338" w14:textId="2D113FAB" w:rsidR="00336EAE" w:rsidRPr="00EB023D" w:rsidRDefault="00336EAE" w:rsidP="00852103">
      <w:pPr>
        <w:pStyle w:val="2"/>
        <w:jc w:val="both"/>
      </w:pPr>
      <w:bookmarkStart w:id="33" w:name="_Toc164444107"/>
      <w:r w:rsidRPr="00EB023D"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bookmarkEnd w:id="32"/>
      <w:r w:rsidR="004E22C8" w:rsidRPr="00EB023D">
        <w:rPr>
          <w:rStyle w:val="af7"/>
        </w:rPr>
        <w:footnoteReference w:id="4"/>
      </w:r>
      <w:bookmarkEnd w:id="33"/>
    </w:p>
    <w:p w14:paraId="3BF9094D" w14:textId="5751044F" w:rsidR="00E61EA8" w:rsidRPr="00EB023D" w:rsidRDefault="00E61EA8" w:rsidP="000F613E">
      <w:pPr>
        <w:ind w:left="200"/>
        <w:jc w:val="both"/>
        <w:rPr>
          <w:b/>
          <w:bCs/>
          <w:i/>
          <w:iCs/>
          <w:lang w:eastAsia="en-US"/>
        </w:rPr>
      </w:pPr>
      <w:r w:rsidRPr="00EB023D">
        <w:rPr>
          <w:b/>
          <w:bCs/>
          <w:i/>
          <w:iCs/>
          <w:lang w:eastAsia="en-US"/>
        </w:rPr>
        <w:t>Соглашения или обязательства Эмитента или подконтрольных эмитенту организаций, предусматривающие право участия работников эмитента и работников подконтрольных эмитенту организаций в уставном капитале, отсутствуют.</w:t>
      </w:r>
    </w:p>
    <w:p w14:paraId="24686859" w14:textId="0F43A25D" w:rsidR="0047643D" w:rsidRPr="00EB023D" w:rsidRDefault="0047643D" w:rsidP="000F613E">
      <w:pPr>
        <w:ind w:left="200"/>
        <w:jc w:val="both"/>
        <w:rPr>
          <w:b/>
          <w:bCs/>
          <w:i/>
          <w:iCs/>
        </w:rPr>
        <w:sectPr w:rsidR="0047643D" w:rsidRPr="00EB023D"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13BC0B74" w14:textId="4F6A9096" w:rsidR="003345E9" w:rsidRPr="00EB023D" w:rsidRDefault="003345E9" w:rsidP="001458BB">
      <w:pPr>
        <w:pStyle w:val="1"/>
      </w:pPr>
      <w:bookmarkStart w:id="34" w:name="_Toc164444108"/>
      <w:r w:rsidRPr="00EB023D">
        <w:lastRenderedPageBreak/>
        <w:t xml:space="preserve">Раздел 3. Сведения об акционерах (участниках, </w:t>
      </w:r>
      <w:r w:rsidR="00E87C1B" w:rsidRPr="00EB023D">
        <w:t>ч</w:t>
      </w:r>
      <w:r w:rsidR="008C43D6" w:rsidRPr="00EB023D">
        <w:t>лен</w:t>
      </w:r>
      <w:r w:rsidRPr="00EB023D">
        <w:t>ах) эмитента, а также о сделках эмитента, в совершении которых имелась заинтересованность, и крупных сделках эмитента</w:t>
      </w:r>
      <w:bookmarkEnd w:id="34"/>
    </w:p>
    <w:p w14:paraId="30102F11" w14:textId="459162AA" w:rsidR="003345E9" w:rsidRPr="00EB023D" w:rsidRDefault="003345E9" w:rsidP="00554B3C">
      <w:pPr>
        <w:pStyle w:val="2"/>
        <w:jc w:val="both"/>
      </w:pPr>
      <w:bookmarkStart w:id="35" w:name="_Toc164444109"/>
      <w:r w:rsidRPr="00EB023D">
        <w:t xml:space="preserve">3.1. Сведения об общем количестве акционеров (участников, </w:t>
      </w:r>
      <w:r w:rsidR="00E87C1B" w:rsidRPr="00EB023D">
        <w:t>ч</w:t>
      </w:r>
      <w:r w:rsidR="008C43D6" w:rsidRPr="00EB023D">
        <w:t>лен</w:t>
      </w:r>
      <w:r w:rsidRPr="00EB023D">
        <w:t>ов) эмитента</w:t>
      </w:r>
      <w:r w:rsidR="00F10479" w:rsidRPr="00EB023D">
        <w:rPr>
          <w:rStyle w:val="af7"/>
        </w:rPr>
        <w:footnoteReference w:id="5"/>
      </w:r>
      <w:bookmarkEnd w:id="35"/>
    </w:p>
    <w:p w14:paraId="490DAA6A" w14:textId="7B123EA4" w:rsidR="00FC199A" w:rsidRPr="00EB023D" w:rsidRDefault="00FC199A" w:rsidP="00FC199A">
      <w:pPr>
        <w:ind w:left="200"/>
        <w:jc w:val="both"/>
      </w:pPr>
      <w:r w:rsidRPr="00EB023D">
        <w:t>Общее количество лиц с ненулевыми остатками на лицевых счетах, зарегистрированных в реестре акционеров эмитента на дату окончания последнего отчетного периода:</w:t>
      </w:r>
      <w:r w:rsidRPr="00EB023D">
        <w:rPr>
          <w:b/>
          <w:bCs/>
          <w:i/>
          <w:iCs/>
        </w:rPr>
        <w:t xml:space="preserve"> 6</w:t>
      </w:r>
      <w:r w:rsidR="000F613E" w:rsidRPr="00EB023D">
        <w:rPr>
          <w:b/>
          <w:bCs/>
          <w:i/>
          <w:iCs/>
        </w:rPr>
        <w:t> </w:t>
      </w:r>
      <w:r w:rsidR="00C57139" w:rsidRPr="00EB023D">
        <w:rPr>
          <w:b/>
          <w:bCs/>
          <w:i/>
          <w:iCs/>
        </w:rPr>
        <w:t>781</w:t>
      </w:r>
      <w:r w:rsidR="000F613E" w:rsidRPr="00EB023D">
        <w:rPr>
          <w:b/>
          <w:bCs/>
          <w:i/>
          <w:iCs/>
        </w:rPr>
        <w:t>.</w:t>
      </w:r>
    </w:p>
    <w:p w14:paraId="2C4F6EC3" w14:textId="2BA2B119" w:rsidR="00FC199A" w:rsidRPr="00EB023D" w:rsidRDefault="00FC199A" w:rsidP="00FC199A">
      <w:pPr>
        <w:ind w:left="200"/>
        <w:jc w:val="both"/>
      </w:pPr>
      <w:r w:rsidRPr="00EB023D">
        <w:t>Общее количество номинальных держателей акций эмитента:</w:t>
      </w:r>
      <w:r w:rsidRPr="00EB023D">
        <w:rPr>
          <w:b/>
          <w:bCs/>
          <w:i/>
          <w:iCs/>
        </w:rPr>
        <w:t xml:space="preserve"> </w:t>
      </w:r>
      <w:r w:rsidR="004925FE" w:rsidRPr="00EB023D">
        <w:rPr>
          <w:b/>
          <w:bCs/>
          <w:i/>
          <w:iCs/>
        </w:rPr>
        <w:t>3</w:t>
      </w:r>
      <w:r w:rsidR="000F613E" w:rsidRPr="00EB023D">
        <w:rPr>
          <w:b/>
          <w:bCs/>
          <w:i/>
          <w:iCs/>
        </w:rPr>
        <w:t>.</w:t>
      </w:r>
    </w:p>
    <w:p w14:paraId="7E5908E6" w14:textId="6D1696A0" w:rsidR="00BF3E1F" w:rsidRPr="00EB023D" w:rsidRDefault="00BF3E1F" w:rsidP="00BF3E1F">
      <w:pPr>
        <w:ind w:left="200"/>
        <w:jc w:val="both"/>
        <w:rPr>
          <w:b/>
          <w:i/>
        </w:rPr>
      </w:pPr>
      <w:r w:rsidRPr="00EB023D">
        <w:t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эмитента), или иной имеющийся у эмитента список, для составления которого номинальные держатели акций эмитента представляли данные о лицах, в интересах которых они владе</w:t>
      </w:r>
      <w:r w:rsidR="007520AC" w:rsidRPr="00EB023D">
        <w:t xml:space="preserve">ли (владеют) акциями эмитента: </w:t>
      </w:r>
      <w:r w:rsidR="007520AC" w:rsidRPr="00EB023D">
        <w:rPr>
          <w:b/>
          <w:i/>
        </w:rPr>
        <w:t>30</w:t>
      </w:r>
      <w:r w:rsidR="000F613E" w:rsidRPr="00EB023D">
        <w:rPr>
          <w:b/>
          <w:i/>
        </w:rPr>
        <w:t> </w:t>
      </w:r>
      <w:r w:rsidR="007520AC" w:rsidRPr="00EB023D">
        <w:rPr>
          <w:b/>
          <w:i/>
        </w:rPr>
        <w:t>713</w:t>
      </w:r>
      <w:r w:rsidR="000F613E" w:rsidRPr="00EB023D">
        <w:rPr>
          <w:b/>
          <w:i/>
        </w:rPr>
        <w:t>.</w:t>
      </w:r>
    </w:p>
    <w:p w14:paraId="38B76C7F" w14:textId="6E23FA6C" w:rsidR="00BF3E1F" w:rsidRPr="00EB023D" w:rsidRDefault="00BF3E1F" w:rsidP="00BF3E1F">
      <w:pPr>
        <w:ind w:left="200"/>
        <w:jc w:val="both"/>
      </w:pPr>
      <w:r w:rsidRPr="00EB023D">
        <w:t>Дата, на которую в данном списке указывались лица, имеющие право осуществлять права по акциям эмитента:</w:t>
      </w:r>
      <w:r w:rsidRPr="00EB023D">
        <w:rPr>
          <w:rStyle w:val="Subst"/>
          <w:bCs/>
          <w:iCs/>
        </w:rPr>
        <w:t xml:space="preserve"> </w:t>
      </w:r>
      <w:r w:rsidR="007520AC" w:rsidRPr="00EB023D">
        <w:rPr>
          <w:rStyle w:val="Subst"/>
          <w:bCs/>
          <w:iCs/>
        </w:rPr>
        <w:t>06.06.2023</w:t>
      </w:r>
      <w:r w:rsidR="000F613E" w:rsidRPr="00EB023D">
        <w:rPr>
          <w:rStyle w:val="Subst"/>
          <w:bCs/>
          <w:iCs/>
        </w:rPr>
        <w:t>.</w:t>
      </w:r>
    </w:p>
    <w:p w14:paraId="6FCA113C" w14:textId="6ED2DA83" w:rsidR="00BF3E1F" w:rsidRPr="00EB023D" w:rsidRDefault="00BF3E1F" w:rsidP="00BF3E1F">
      <w:pPr>
        <w:ind w:left="200"/>
        <w:jc w:val="both"/>
      </w:pPr>
      <w:r w:rsidRPr="00EB023D">
        <w:t>Владельцы обыкновенных акций эмитента, которые подлежали включению в такой список:</w:t>
      </w:r>
      <w:r w:rsidRPr="00EB023D">
        <w:rPr>
          <w:rStyle w:val="Subst"/>
          <w:bCs/>
          <w:iCs/>
        </w:rPr>
        <w:t xml:space="preserve"> </w:t>
      </w:r>
      <w:r w:rsidR="007520AC" w:rsidRPr="00EB023D">
        <w:rPr>
          <w:rStyle w:val="Subst"/>
          <w:bCs/>
          <w:iCs/>
        </w:rPr>
        <w:t>30</w:t>
      </w:r>
      <w:r w:rsidR="000F613E" w:rsidRPr="00EB023D">
        <w:rPr>
          <w:rStyle w:val="Subst"/>
          <w:bCs/>
          <w:iCs/>
        </w:rPr>
        <w:t> </w:t>
      </w:r>
      <w:r w:rsidR="007520AC" w:rsidRPr="00EB023D">
        <w:rPr>
          <w:rStyle w:val="Subst"/>
          <w:bCs/>
          <w:iCs/>
        </w:rPr>
        <w:t>713</w:t>
      </w:r>
      <w:r w:rsidR="000F613E" w:rsidRPr="00EB023D">
        <w:rPr>
          <w:rStyle w:val="Subst"/>
          <w:bCs/>
          <w:iCs/>
        </w:rPr>
        <w:t>.</w:t>
      </w:r>
    </w:p>
    <w:p w14:paraId="3604277A" w14:textId="0A6D8CAA" w:rsidR="00BF3E1F" w:rsidRPr="00EB023D" w:rsidRDefault="00BF3E1F" w:rsidP="000F613E">
      <w:pPr>
        <w:spacing w:before="0"/>
        <w:ind w:left="200"/>
        <w:jc w:val="both"/>
      </w:pPr>
      <w:r w:rsidRPr="00EB023D">
        <w:t>Владельцы привилегированных акций эмитента, которые подлежали включению в такой список:</w:t>
      </w:r>
      <w:r w:rsidRPr="00EB023D">
        <w:rPr>
          <w:rStyle w:val="Subst"/>
          <w:bCs/>
          <w:iCs/>
        </w:rPr>
        <w:t xml:space="preserve"> </w:t>
      </w:r>
      <w:r w:rsidR="000F613E" w:rsidRPr="00EB023D">
        <w:rPr>
          <w:rStyle w:val="Subst"/>
          <w:bCs/>
          <w:iCs/>
        </w:rPr>
        <w:t>отсутствуют.</w:t>
      </w:r>
    </w:p>
    <w:p w14:paraId="28EBDF04" w14:textId="6C0BAFB4" w:rsidR="00FC199A" w:rsidRPr="00EB023D" w:rsidRDefault="00FC199A" w:rsidP="000F613E">
      <w:pPr>
        <w:spacing w:before="0" w:after="0"/>
        <w:ind w:left="200"/>
        <w:jc w:val="both"/>
      </w:pPr>
      <w:r w:rsidRPr="00EB023D">
        <w:t>Информация о количестве акций, приобретенных и (или) выкупленных эмитентом, и (или) поступивших в его распоряжение, на дату окончания отчетного периода, отдельно по каждой категории (типу) акций</w:t>
      </w:r>
      <w:r w:rsidR="000F613E" w:rsidRPr="00EB023D">
        <w:t xml:space="preserve">: </w:t>
      </w:r>
      <w:r w:rsidR="000F613E" w:rsidRPr="00EB023D">
        <w:rPr>
          <w:b/>
          <w:bCs/>
          <w:i/>
          <w:iCs/>
        </w:rPr>
        <w:t>с</w:t>
      </w:r>
      <w:r w:rsidRPr="00EB023D">
        <w:rPr>
          <w:b/>
          <w:bCs/>
          <w:i/>
          <w:iCs/>
        </w:rPr>
        <w:t xml:space="preserve">обственных акций, находящихся на балансе </w:t>
      </w:r>
      <w:r w:rsidR="000F613E" w:rsidRPr="00EB023D">
        <w:rPr>
          <w:b/>
          <w:bCs/>
          <w:i/>
          <w:iCs/>
        </w:rPr>
        <w:t>Э</w:t>
      </w:r>
      <w:r w:rsidRPr="00EB023D">
        <w:rPr>
          <w:b/>
          <w:bCs/>
          <w:i/>
          <w:iCs/>
        </w:rPr>
        <w:t>митента</w:t>
      </w:r>
      <w:r w:rsidR="00206172" w:rsidRPr="00EB023D">
        <w:rPr>
          <w:b/>
          <w:bCs/>
          <w:i/>
          <w:iCs/>
        </w:rPr>
        <w:t>,</w:t>
      </w:r>
      <w:r w:rsidRPr="00EB023D">
        <w:rPr>
          <w:b/>
          <w:bCs/>
          <w:i/>
          <w:iCs/>
        </w:rPr>
        <w:t xml:space="preserve"> нет</w:t>
      </w:r>
      <w:r w:rsidR="000F613E" w:rsidRPr="00EB023D">
        <w:rPr>
          <w:b/>
          <w:bCs/>
          <w:i/>
          <w:iCs/>
        </w:rPr>
        <w:t>.</w:t>
      </w:r>
    </w:p>
    <w:p w14:paraId="0F80DF5C" w14:textId="01F80AD8" w:rsidR="00FC199A" w:rsidRPr="00EB023D" w:rsidRDefault="00FC199A" w:rsidP="000F613E">
      <w:pPr>
        <w:spacing w:before="240" w:after="0"/>
        <w:ind w:left="200"/>
        <w:jc w:val="both"/>
      </w:pPr>
      <w:r w:rsidRPr="00EB023D">
        <w:t>Информация о количестве акций эмитента, принадлежащих подконтрольным ему организациям</w:t>
      </w:r>
      <w:r w:rsidR="000F613E" w:rsidRPr="00EB023D">
        <w:t xml:space="preserve">: </w:t>
      </w:r>
      <w:r w:rsidR="000F613E" w:rsidRPr="00EB023D">
        <w:rPr>
          <w:b/>
          <w:i/>
        </w:rPr>
        <w:t>а</w:t>
      </w:r>
      <w:r w:rsidR="000F613E" w:rsidRPr="00EB023D">
        <w:rPr>
          <w:b/>
          <w:bCs/>
          <w:i/>
          <w:iCs/>
        </w:rPr>
        <w:t>кций Э</w:t>
      </w:r>
      <w:r w:rsidRPr="00EB023D">
        <w:rPr>
          <w:b/>
          <w:bCs/>
          <w:i/>
          <w:iCs/>
        </w:rPr>
        <w:t>митента, принадлежащих подконтрольным ему организациям</w:t>
      </w:r>
      <w:r w:rsidR="000F613E" w:rsidRPr="00EB023D">
        <w:rPr>
          <w:b/>
          <w:bCs/>
          <w:i/>
          <w:iCs/>
        </w:rPr>
        <w:t>,</w:t>
      </w:r>
      <w:r w:rsidRPr="00EB023D">
        <w:rPr>
          <w:b/>
          <w:bCs/>
          <w:i/>
          <w:iCs/>
        </w:rPr>
        <w:t xml:space="preserve"> нет</w:t>
      </w:r>
      <w:r w:rsidR="000F613E" w:rsidRPr="00EB023D">
        <w:rPr>
          <w:b/>
          <w:bCs/>
          <w:i/>
          <w:iCs/>
        </w:rPr>
        <w:t>.</w:t>
      </w:r>
    </w:p>
    <w:p w14:paraId="5E057B67" w14:textId="76BA1C8A" w:rsidR="003345E9" w:rsidRPr="00EB023D" w:rsidRDefault="003345E9" w:rsidP="00554B3C">
      <w:pPr>
        <w:pStyle w:val="2"/>
        <w:jc w:val="both"/>
      </w:pPr>
      <w:bookmarkStart w:id="36" w:name="_Toc164444110"/>
      <w:r w:rsidRPr="00EB023D">
        <w:t xml:space="preserve">3.2. Сведения об акционерах (участниках, </w:t>
      </w:r>
      <w:r w:rsidR="00E87C1B" w:rsidRPr="00EB023D">
        <w:t>ч</w:t>
      </w:r>
      <w:r w:rsidR="008C43D6" w:rsidRPr="00EB023D">
        <w:t>лен</w:t>
      </w:r>
      <w:r w:rsidRPr="00EB023D">
        <w:t>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 w:rsidR="00F10479" w:rsidRPr="00EB023D">
        <w:rPr>
          <w:rStyle w:val="af7"/>
        </w:rPr>
        <w:footnoteReference w:id="6"/>
      </w:r>
      <w:bookmarkEnd w:id="36"/>
    </w:p>
    <w:p w14:paraId="678EC0FE" w14:textId="77777777" w:rsidR="00640551" w:rsidRPr="00EB023D" w:rsidRDefault="00640551" w:rsidP="00640551">
      <w:pPr>
        <w:rPr>
          <w:b/>
          <w:i/>
        </w:rPr>
      </w:pPr>
      <w:bookmarkStart w:id="37" w:name="_Toc115250336"/>
      <w:r w:rsidRPr="00EB023D">
        <w:rPr>
          <w:b/>
          <w:i/>
        </w:rPr>
        <w:t>Информация не раскрывается.</w:t>
      </w:r>
    </w:p>
    <w:p w14:paraId="38EF1E51" w14:textId="2277C35E" w:rsidR="003345E9" w:rsidRPr="00EB023D" w:rsidRDefault="004B0C82" w:rsidP="00554B3C">
      <w:pPr>
        <w:pStyle w:val="2"/>
        <w:jc w:val="both"/>
      </w:pPr>
      <w:bookmarkStart w:id="38" w:name="_Toc164444111"/>
      <w:r w:rsidRPr="00EB023D">
        <w:t>3</w:t>
      </w:r>
      <w:bookmarkEnd w:id="37"/>
      <w:r w:rsidR="003345E9" w:rsidRPr="00EB023D">
        <w:t>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r w:rsidR="00D1595C" w:rsidRPr="00EB023D">
        <w:rPr>
          <w:rStyle w:val="af7"/>
        </w:rPr>
        <w:footnoteReference w:id="7"/>
      </w:r>
      <w:bookmarkEnd w:id="38"/>
    </w:p>
    <w:p w14:paraId="5A5B1AA5" w14:textId="77777777" w:rsidR="005A24E1" w:rsidRPr="00EB023D" w:rsidRDefault="005A24E1" w:rsidP="00AA46B3">
      <w:pPr>
        <w:ind w:left="400"/>
      </w:pPr>
      <w:r w:rsidRPr="00EB023D">
        <w:rPr>
          <w:b/>
          <w:bCs/>
          <w:i/>
          <w:iCs/>
        </w:rPr>
        <w:t>В уставном капитале эмитента нет долей, находящихся в государственной (федеральной) собственности</w:t>
      </w:r>
    </w:p>
    <w:p w14:paraId="741A03FB" w14:textId="77777777" w:rsidR="005A24E1" w:rsidRPr="00EB023D" w:rsidRDefault="005A24E1" w:rsidP="00AA46B3">
      <w:pPr>
        <w:ind w:left="400"/>
      </w:pPr>
      <w:r w:rsidRPr="00EB023D">
        <w:rPr>
          <w:b/>
          <w:bCs/>
          <w:i/>
          <w:iCs/>
        </w:rPr>
        <w:t>В уставном капитале эмитента нет долей, находящихся в собственности субъектов Российской Федерации</w:t>
      </w:r>
    </w:p>
    <w:p w14:paraId="25179E6F" w14:textId="77777777" w:rsidR="005A24E1" w:rsidRPr="00EB023D" w:rsidRDefault="005A24E1" w:rsidP="00AA46B3">
      <w:pPr>
        <w:ind w:left="400"/>
      </w:pPr>
      <w:r w:rsidRPr="00EB023D">
        <w:t>Размер доли уставного капитала эмитента, находящейся в муниципальной собственности:</w:t>
      </w:r>
    </w:p>
    <w:p w14:paraId="1625D1AF" w14:textId="77777777" w:rsidR="005A24E1" w:rsidRPr="00EB023D" w:rsidRDefault="005A24E1" w:rsidP="00AA46B3">
      <w:pPr>
        <w:ind w:left="400"/>
      </w:pPr>
      <w:r w:rsidRPr="00EB023D">
        <w:rPr>
          <w:b/>
          <w:bCs/>
          <w:i/>
          <w:iCs/>
        </w:rPr>
        <w:t>В уставном капитале эмитента нет долей, находящихся в муниципальной собственности</w:t>
      </w:r>
    </w:p>
    <w:p w14:paraId="43E9D362" w14:textId="77777777" w:rsidR="005A24E1" w:rsidRPr="00EB023D" w:rsidRDefault="005A24E1" w:rsidP="00AA46B3">
      <w:pPr>
        <w:ind w:left="400"/>
      </w:pPr>
      <w:r w:rsidRPr="00EB023D">
        <w:t>Сведения об управляющих государственными, муниципальными пакетами акций</w:t>
      </w:r>
    </w:p>
    <w:p w14:paraId="7C5F21E7" w14:textId="77777777" w:rsidR="005A24E1" w:rsidRPr="00EB023D" w:rsidRDefault="005A24E1" w:rsidP="00AA46B3">
      <w:pPr>
        <w:ind w:left="400"/>
      </w:pPr>
      <w:r w:rsidRPr="00EB023D">
        <w:rPr>
          <w:b/>
          <w:bCs/>
          <w:i/>
          <w:iCs/>
        </w:rPr>
        <w:lastRenderedPageBreak/>
        <w:t>Указанных лиц нет</w:t>
      </w:r>
    </w:p>
    <w:p w14:paraId="68A489CF" w14:textId="77777777" w:rsidR="005A24E1" w:rsidRPr="00EB023D" w:rsidRDefault="005A24E1" w:rsidP="00AA46B3">
      <w:pPr>
        <w:ind w:left="400"/>
      </w:pPr>
      <w:r w:rsidRPr="00EB023D">
        <w:t>Лица, которые от имени Российской Федерации, субъекта Российской Федерации или муниципального образования осуществляют функции участника (акционера) эмитента</w:t>
      </w:r>
    </w:p>
    <w:p w14:paraId="0B47C3D0" w14:textId="77777777" w:rsidR="005A24E1" w:rsidRPr="00EB023D" w:rsidRDefault="005A24E1" w:rsidP="00AA46B3">
      <w:pPr>
        <w:ind w:left="400"/>
      </w:pPr>
      <w:r w:rsidRPr="00EB023D">
        <w:rPr>
          <w:b/>
          <w:bCs/>
          <w:i/>
          <w:iCs/>
        </w:rPr>
        <w:t>Указанных лиц нет</w:t>
      </w:r>
    </w:p>
    <w:p w14:paraId="5B2FAE78" w14:textId="6460E586" w:rsidR="005A24E1" w:rsidRPr="00EB023D" w:rsidRDefault="005A24E1" w:rsidP="00AA46B3">
      <w:pPr>
        <w:ind w:left="400"/>
      </w:pPr>
      <w:r w:rsidRPr="00EB023D">
        <w:t>Наличие специального права на участие Российской Федерации, субъектов Российской Федерации, муниципальных образований в управлении эмитенто</w:t>
      </w:r>
      <w:r w:rsidR="00000C4C" w:rsidRPr="00EB023D">
        <w:t>м - акционерным обществом («золотой акции»</w:t>
      </w:r>
      <w:r w:rsidRPr="00EB023D">
        <w:t>), срок действия спе</w:t>
      </w:r>
      <w:r w:rsidR="00000C4C" w:rsidRPr="00EB023D">
        <w:t>циального права («золотой акции»</w:t>
      </w:r>
      <w:r w:rsidRPr="00EB023D">
        <w:t>)</w:t>
      </w:r>
    </w:p>
    <w:p w14:paraId="4F451C5E" w14:textId="77777777" w:rsidR="005A24E1" w:rsidRPr="00EB023D" w:rsidRDefault="005A24E1" w:rsidP="005A24E1">
      <w:pPr>
        <w:ind w:left="400"/>
        <w:jc w:val="both"/>
      </w:pPr>
      <w:r w:rsidRPr="00EB023D">
        <w:rPr>
          <w:b/>
          <w:bCs/>
          <w:i/>
          <w:iCs/>
        </w:rPr>
        <w:t>Наличие специального права на участие Российской Федерации, субъектов Российской Федерации, муниципальных образований в управлении эмитентом - акционерным обществом («золотой акции»): имеется, срок действия специального права («золотой акции») - действует до принятия решения о его прекращении.</w:t>
      </w:r>
      <w:r w:rsidRPr="00EB023D">
        <w:rPr>
          <w:b/>
          <w:bCs/>
          <w:i/>
          <w:iCs/>
        </w:rPr>
        <w:br/>
      </w:r>
    </w:p>
    <w:p w14:paraId="61E78611" w14:textId="1D5D95C4" w:rsidR="009868B2" w:rsidRPr="00EB023D" w:rsidRDefault="003345E9" w:rsidP="001F7113">
      <w:pPr>
        <w:pStyle w:val="2"/>
        <w:jc w:val="both"/>
      </w:pPr>
      <w:bookmarkStart w:id="39" w:name="_Toc164444112"/>
      <w:r w:rsidRPr="00EB023D">
        <w:t>3.4. Сделки эмитента, в совершении которых имелась заинтересованность</w:t>
      </w:r>
      <w:bookmarkEnd w:id="39"/>
    </w:p>
    <w:p w14:paraId="7C3237C0" w14:textId="77777777" w:rsidR="00640551" w:rsidRPr="00EB023D" w:rsidRDefault="00640551" w:rsidP="00607CE0">
      <w:pPr>
        <w:ind w:firstLine="426"/>
        <w:rPr>
          <w:b/>
          <w:i/>
        </w:rPr>
      </w:pPr>
      <w:r w:rsidRPr="00EB023D">
        <w:rPr>
          <w:b/>
          <w:i/>
        </w:rPr>
        <w:t>Информация не раскрывается.</w:t>
      </w:r>
    </w:p>
    <w:p w14:paraId="44121F01" w14:textId="77777777" w:rsidR="003345E9" w:rsidRPr="00EB023D" w:rsidRDefault="003345E9" w:rsidP="00554B3C">
      <w:pPr>
        <w:pStyle w:val="2"/>
        <w:jc w:val="both"/>
      </w:pPr>
      <w:bookmarkStart w:id="40" w:name="_Toc164444113"/>
      <w:r w:rsidRPr="00EB023D">
        <w:t>3.5. Крупные сделки эмитента</w:t>
      </w:r>
      <w:bookmarkEnd w:id="40"/>
    </w:p>
    <w:p w14:paraId="0E87DB2C" w14:textId="77777777" w:rsidR="003F7D07" w:rsidRPr="003F7D07" w:rsidRDefault="003F7D07" w:rsidP="003F7D07">
      <w:pPr>
        <w:ind w:left="400"/>
        <w:jc w:val="both"/>
        <w:rPr>
          <w:b/>
          <w:i/>
        </w:rPr>
      </w:pPr>
      <w:r w:rsidRPr="003F7D07">
        <w:rPr>
          <w:b/>
          <w:i/>
        </w:rPr>
        <w:t>Информация не раскрывается.</w:t>
      </w:r>
    </w:p>
    <w:p w14:paraId="26D1305E" w14:textId="087472CE" w:rsidR="00EC6DDE" w:rsidRPr="00EB023D" w:rsidRDefault="00EC6DDE" w:rsidP="005A24E1">
      <w:pPr>
        <w:ind w:left="400"/>
        <w:jc w:val="both"/>
        <w:rPr>
          <w:rStyle w:val="Subst"/>
          <w:bCs/>
          <w:iCs/>
        </w:rPr>
        <w:sectPr w:rsidR="00EC6DDE" w:rsidRPr="00EB023D"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4B461C03" w14:textId="37C54ABE" w:rsidR="005A24E1" w:rsidRPr="00EB023D" w:rsidRDefault="005A24E1" w:rsidP="005A24E1">
      <w:pPr>
        <w:ind w:left="400"/>
        <w:jc w:val="both"/>
      </w:pPr>
    </w:p>
    <w:p w14:paraId="4E55D14F" w14:textId="77777777" w:rsidR="003345E9" w:rsidRPr="00EB023D" w:rsidRDefault="003345E9" w:rsidP="004B0C82">
      <w:pPr>
        <w:pStyle w:val="1"/>
      </w:pPr>
      <w:bookmarkStart w:id="41" w:name="_Toc164444114"/>
      <w:r w:rsidRPr="00EB023D">
        <w:t>Раздел 4. Дополнительные сведения об эмитенте и о размещенных им ценных бумагах</w:t>
      </w:r>
      <w:bookmarkEnd w:id="41"/>
    </w:p>
    <w:p w14:paraId="4D4B91D9" w14:textId="04763A77" w:rsidR="003345E9" w:rsidRPr="00EB023D" w:rsidRDefault="003345E9" w:rsidP="00554B3C">
      <w:pPr>
        <w:pStyle w:val="2"/>
        <w:jc w:val="both"/>
      </w:pPr>
      <w:bookmarkStart w:id="42" w:name="_Toc164444115"/>
      <w:r w:rsidRPr="00EB023D">
        <w:t>4.1. Подконтрольные эмитенту организации, имеющие для него существенное значение</w:t>
      </w:r>
      <w:r w:rsidR="00127934" w:rsidRPr="00EB023D">
        <w:rPr>
          <w:rStyle w:val="af7"/>
        </w:rPr>
        <w:footnoteReference w:id="8"/>
      </w:r>
      <w:bookmarkEnd w:id="42"/>
    </w:p>
    <w:p w14:paraId="67271CFA" w14:textId="24EA5477" w:rsidR="003345E9" w:rsidRPr="00EB023D" w:rsidRDefault="003345E9" w:rsidP="00554B3C">
      <w:pPr>
        <w:ind w:left="200"/>
        <w:jc w:val="both"/>
      </w:pPr>
      <w:r w:rsidRPr="00EB023D">
        <w:rPr>
          <w:rStyle w:val="Subst"/>
          <w:bCs/>
          <w:iCs/>
        </w:rPr>
        <w:t>Эмитент не имеет подконтрольных организаций, имеющих для него существенное значение</w:t>
      </w:r>
      <w:r w:rsidR="001501E1" w:rsidRPr="00EB023D">
        <w:rPr>
          <w:rStyle w:val="Subst"/>
          <w:bCs/>
          <w:iCs/>
        </w:rPr>
        <w:t>.</w:t>
      </w:r>
    </w:p>
    <w:p w14:paraId="39F83FAA" w14:textId="77777777" w:rsidR="003345E9" w:rsidRPr="00EB023D" w:rsidRDefault="003345E9" w:rsidP="00554B3C">
      <w:pPr>
        <w:pStyle w:val="2"/>
        <w:jc w:val="both"/>
      </w:pPr>
      <w:bookmarkStart w:id="43" w:name="_Toc164444116"/>
      <w:r w:rsidRPr="00EB023D">
        <w:t>4.2.</w:t>
      </w:r>
      <w:r w:rsidR="00894A10" w:rsidRPr="00EB023D">
        <w:t> </w:t>
      </w:r>
      <w:r w:rsidRPr="00EB023D">
        <w:t>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bookmarkEnd w:id="43"/>
    </w:p>
    <w:p w14:paraId="03AF34CD" w14:textId="491AD617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>Эмитент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EB023D">
        <w:rPr>
          <w:rStyle w:val="Subst"/>
          <w:bCs/>
          <w:iCs/>
        </w:rPr>
        <w:t xml:space="preserve"> </w:t>
      </w:r>
      <w:r w:rsidR="003B6596" w:rsidRPr="00EB023D">
        <w:rPr>
          <w:rStyle w:val="Subst"/>
          <w:bCs/>
          <w:iCs/>
        </w:rPr>
        <w:t>зелены</w:t>
      </w:r>
      <w:r w:rsidR="00821DA6" w:rsidRPr="00EB023D">
        <w:rPr>
          <w:rStyle w:val="Subst"/>
          <w:bCs/>
          <w:iCs/>
        </w:rPr>
        <w:t>е</w:t>
      </w:r>
      <w:r w:rsidR="003B6596" w:rsidRPr="00EB023D">
        <w:rPr>
          <w:rStyle w:val="Subst"/>
          <w:bCs/>
          <w:iCs/>
        </w:rPr>
        <w:t xml:space="preserve"> </w:t>
      </w:r>
      <w:r w:rsidR="00821DA6" w:rsidRPr="00EB023D">
        <w:rPr>
          <w:rStyle w:val="Subst"/>
          <w:bCs/>
          <w:iCs/>
        </w:rPr>
        <w:t>облигации</w:t>
      </w:r>
      <w:r w:rsidR="003B6596" w:rsidRPr="00EB023D">
        <w:rPr>
          <w:rStyle w:val="Subst"/>
          <w:bCs/>
          <w:iCs/>
        </w:rPr>
        <w:t>, социальны</w:t>
      </w:r>
      <w:r w:rsidR="00821DA6" w:rsidRPr="00EB023D">
        <w:rPr>
          <w:rStyle w:val="Subst"/>
          <w:bCs/>
          <w:iCs/>
        </w:rPr>
        <w:t xml:space="preserve">е </w:t>
      </w:r>
      <w:r w:rsidR="003B6596" w:rsidRPr="00EB023D">
        <w:rPr>
          <w:rStyle w:val="Subst"/>
          <w:bCs/>
          <w:iCs/>
        </w:rPr>
        <w:t>облигаци</w:t>
      </w:r>
      <w:r w:rsidR="00821DA6" w:rsidRPr="00EB023D">
        <w:rPr>
          <w:rStyle w:val="Subst"/>
          <w:bCs/>
          <w:iCs/>
        </w:rPr>
        <w:t>и, облигаци</w:t>
      </w:r>
      <w:r w:rsidR="003B6596" w:rsidRPr="00EB023D">
        <w:rPr>
          <w:rStyle w:val="Subst"/>
          <w:bCs/>
          <w:iCs/>
        </w:rPr>
        <w:t>й устойчивого развития, адаптационны</w:t>
      </w:r>
      <w:r w:rsidR="00821DA6" w:rsidRPr="00EB023D">
        <w:rPr>
          <w:rStyle w:val="Subst"/>
          <w:bCs/>
          <w:iCs/>
        </w:rPr>
        <w:t>е</w:t>
      </w:r>
      <w:r w:rsidR="003B6596" w:rsidRPr="00EB023D">
        <w:rPr>
          <w:rStyle w:val="Subst"/>
          <w:bCs/>
          <w:iCs/>
        </w:rPr>
        <w:t xml:space="preserve"> облигаци</w:t>
      </w:r>
      <w:r w:rsidR="00821DA6" w:rsidRPr="00EB023D">
        <w:rPr>
          <w:rStyle w:val="Subst"/>
          <w:bCs/>
          <w:iCs/>
        </w:rPr>
        <w:t>и.</w:t>
      </w:r>
    </w:p>
    <w:p w14:paraId="7389605B" w14:textId="77777777" w:rsidR="003345E9" w:rsidRPr="00EB023D" w:rsidRDefault="003345E9" w:rsidP="00554B3C">
      <w:pPr>
        <w:pStyle w:val="2"/>
        <w:jc w:val="both"/>
      </w:pPr>
      <w:bookmarkStart w:id="44" w:name="_Toc164444117"/>
      <w:r w:rsidRPr="00EB023D"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  <w:bookmarkEnd w:id="44"/>
    </w:p>
    <w:p w14:paraId="784272A0" w14:textId="578569CE" w:rsidR="003345E9" w:rsidRPr="00EB023D" w:rsidRDefault="00C41308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>Информация не приводится, т.к. Э</w:t>
      </w:r>
      <w:r w:rsidR="003345E9" w:rsidRPr="00EB023D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EB023D">
        <w:rPr>
          <w:rStyle w:val="Subst"/>
          <w:bCs/>
          <w:iCs/>
        </w:rPr>
        <w:t xml:space="preserve"> </w:t>
      </w:r>
      <w:r w:rsidR="00821DA6" w:rsidRPr="00EB023D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28344FCC" w14:textId="77777777" w:rsidR="003345E9" w:rsidRPr="00EB023D" w:rsidRDefault="003345E9" w:rsidP="00554B3C">
      <w:pPr>
        <w:pStyle w:val="2"/>
        <w:jc w:val="both"/>
      </w:pPr>
      <w:bookmarkStart w:id="45" w:name="_Toc164444118"/>
      <w:r w:rsidRPr="00EB023D"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  <w:bookmarkEnd w:id="45"/>
    </w:p>
    <w:p w14:paraId="79E61FB2" w14:textId="433733C9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 xml:space="preserve">Информация не приводится, т.к.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EB023D">
        <w:rPr>
          <w:rStyle w:val="Subst"/>
          <w:bCs/>
          <w:iCs/>
        </w:rPr>
        <w:t xml:space="preserve"> </w:t>
      </w:r>
      <w:r w:rsidR="00821DA6" w:rsidRPr="00EB023D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0C5AE0A9" w14:textId="77777777" w:rsidR="003345E9" w:rsidRPr="00EB023D" w:rsidRDefault="003345E9" w:rsidP="00554B3C">
      <w:pPr>
        <w:pStyle w:val="2"/>
        <w:jc w:val="both"/>
      </w:pPr>
      <w:bookmarkStart w:id="46" w:name="_Toc164444119"/>
      <w:r w:rsidRPr="00EB023D"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  <w:bookmarkEnd w:id="46"/>
    </w:p>
    <w:p w14:paraId="15696394" w14:textId="53335CEF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 xml:space="preserve">Информация не приводится, т.к.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EB023D">
        <w:rPr>
          <w:rStyle w:val="Subst"/>
          <w:bCs/>
          <w:iCs/>
        </w:rPr>
        <w:t xml:space="preserve"> </w:t>
      </w:r>
      <w:r w:rsidR="00821DA6" w:rsidRPr="00EB023D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071DD061" w14:textId="77777777" w:rsidR="003345E9" w:rsidRPr="00EB023D" w:rsidRDefault="003345E9" w:rsidP="00554B3C">
      <w:pPr>
        <w:pStyle w:val="2"/>
        <w:jc w:val="both"/>
      </w:pPr>
      <w:bookmarkStart w:id="47" w:name="_Toc164444120"/>
      <w:r w:rsidRPr="00EB023D">
        <w:t>4.2(1). Дополнительные сведения, раскрываемые эмитентами инфраструктурных облигаций</w:t>
      </w:r>
      <w:bookmarkEnd w:id="47"/>
    </w:p>
    <w:p w14:paraId="1DCFC1C7" w14:textId="5AD673B4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 xml:space="preserve">Информация не приводится, т.к.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EB023D">
        <w:rPr>
          <w:rStyle w:val="Subst"/>
          <w:bCs/>
          <w:iCs/>
        </w:rPr>
        <w:t xml:space="preserve"> </w:t>
      </w:r>
      <w:r w:rsidR="00821DA6" w:rsidRPr="00EB023D">
        <w:rPr>
          <w:rStyle w:val="Subst"/>
          <w:bCs/>
          <w:iCs/>
        </w:rPr>
        <w:t>инфраструктурные облигации.</w:t>
      </w:r>
    </w:p>
    <w:p w14:paraId="4649AD09" w14:textId="77777777" w:rsidR="003345E9" w:rsidRPr="00EB023D" w:rsidRDefault="003345E9" w:rsidP="00554B3C">
      <w:pPr>
        <w:pStyle w:val="2"/>
        <w:jc w:val="both"/>
      </w:pPr>
      <w:bookmarkStart w:id="48" w:name="_Toc164444121"/>
      <w:r w:rsidRPr="00EB023D">
        <w:t>4.2(2). Дополнительные сведения, раскрываемые эмитентами облигаций, связанных с целями устойчивого развития</w:t>
      </w:r>
      <w:bookmarkEnd w:id="48"/>
    </w:p>
    <w:p w14:paraId="137FFF86" w14:textId="64DE2B49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 xml:space="preserve">Информация не приводится, т.к.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EB023D">
        <w:rPr>
          <w:rStyle w:val="Subst"/>
          <w:bCs/>
          <w:iCs/>
        </w:rPr>
        <w:t xml:space="preserve"> </w:t>
      </w:r>
      <w:r w:rsidR="00821DA6" w:rsidRPr="00EB023D">
        <w:rPr>
          <w:rStyle w:val="Subst"/>
          <w:bCs/>
          <w:iCs/>
        </w:rPr>
        <w:t>облигации устойчивого развития.</w:t>
      </w:r>
    </w:p>
    <w:p w14:paraId="307A7592" w14:textId="77777777" w:rsidR="003345E9" w:rsidRPr="00EB023D" w:rsidRDefault="003345E9" w:rsidP="00554B3C">
      <w:pPr>
        <w:pStyle w:val="2"/>
        <w:jc w:val="both"/>
      </w:pPr>
      <w:bookmarkStart w:id="49" w:name="_Toc164444122"/>
      <w:r w:rsidRPr="00EB023D">
        <w:lastRenderedPageBreak/>
        <w:t>4.2(3). Дополнительные сведения, раскрываемые эмитентами облигаций климатического перехода</w:t>
      </w:r>
      <w:bookmarkEnd w:id="49"/>
    </w:p>
    <w:p w14:paraId="64FD3D3A" w14:textId="22B32249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 xml:space="preserve">Информация не приводится, т.к.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EB023D">
        <w:rPr>
          <w:rStyle w:val="Subst"/>
          <w:bCs/>
          <w:iCs/>
        </w:rPr>
        <w:t xml:space="preserve"> </w:t>
      </w:r>
      <w:r w:rsidR="00821DA6" w:rsidRPr="00EB023D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6222B615" w14:textId="129985C8" w:rsidR="003345E9" w:rsidRPr="00EB023D" w:rsidRDefault="003345E9" w:rsidP="00554B3C">
      <w:pPr>
        <w:pStyle w:val="2"/>
        <w:jc w:val="both"/>
      </w:pPr>
      <w:bookmarkStart w:id="50" w:name="_Toc164444123"/>
      <w:r w:rsidRPr="00EB023D"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 w:rsidR="00127934" w:rsidRPr="00EB023D">
        <w:rPr>
          <w:rStyle w:val="af7"/>
        </w:rPr>
        <w:footnoteReference w:id="9"/>
      </w:r>
      <w:bookmarkEnd w:id="50"/>
    </w:p>
    <w:p w14:paraId="68B01F90" w14:textId="04E30C7B" w:rsidR="003345E9" w:rsidRPr="00EB023D" w:rsidRDefault="003345E9" w:rsidP="00554B3C">
      <w:pPr>
        <w:ind w:left="200"/>
        <w:jc w:val="both"/>
        <w:rPr>
          <w:rStyle w:val="Subst"/>
          <w:bCs/>
          <w:iCs/>
        </w:rPr>
      </w:pPr>
      <w:r w:rsidRPr="00EB023D">
        <w:rPr>
          <w:rStyle w:val="Subst"/>
          <w:bCs/>
          <w:iCs/>
        </w:rPr>
        <w:t xml:space="preserve">В обращении нет облигаций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митента, в отношении которых зарегистрирован проспект или размещенные путем открытой подписки, в отношении которых предоставлено обеспечение</w:t>
      </w:r>
      <w:r w:rsidR="004546DF" w:rsidRPr="00EB023D">
        <w:rPr>
          <w:rStyle w:val="Subst"/>
          <w:bCs/>
          <w:iCs/>
        </w:rPr>
        <w:t>.</w:t>
      </w:r>
    </w:p>
    <w:p w14:paraId="7218DD07" w14:textId="77777777" w:rsidR="003345E9" w:rsidRPr="00EB023D" w:rsidRDefault="003345E9" w:rsidP="00554B3C">
      <w:pPr>
        <w:pStyle w:val="2"/>
        <w:jc w:val="both"/>
      </w:pPr>
      <w:bookmarkStart w:id="51" w:name="_Toc164444124"/>
      <w:r w:rsidRPr="00EB023D">
        <w:t>4.3.1. Дополнительные сведения об ипотечном покрытии по облигациям эмитента с ипотечным покрытием</w:t>
      </w:r>
      <w:bookmarkEnd w:id="51"/>
    </w:p>
    <w:p w14:paraId="3EE4549F" w14:textId="6F198649" w:rsidR="003345E9" w:rsidRPr="00EB023D" w:rsidRDefault="003345E9" w:rsidP="00554B3C">
      <w:pPr>
        <w:ind w:left="200"/>
        <w:jc w:val="both"/>
      </w:pPr>
      <w:r w:rsidRPr="00EB023D">
        <w:rPr>
          <w:rStyle w:val="Subst"/>
          <w:bCs/>
          <w:iCs/>
        </w:rPr>
        <w:t xml:space="preserve">Информация в настоящем пункте не приводится в связи с тем, что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 не размещал облигации с ипотечным покрытием</w:t>
      </w:r>
      <w:r w:rsidR="004546DF" w:rsidRPr="00EB023D">
        <w:rPr>
          <w:rStyle w:val="Subst"/>
          <w:bCs/>
          <w:iCs/>
        </w:rPr>
        <w:t>.</w:t>
      </w:r>
    </w:p>
    <w:p w14:paraId="588F33FF" w14:textId="77777777" w:rsidR="003345E9" w:rsidRPr="00EB023D" w:rsidRDefault="003345E9" w:rsidP="00554B3C">
      <w:pPr>
        <w:pStyle w:val="2"/>
        <w:jc w:val="both"/>
      </w:pPr>
      <w:bookmarkStart w:id="52" w:name="_Toc164444125"/>
      <w:r w:rsidRPr="00EB023D">
        <w:t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bookmarkEnd w:id="52"/>
    </w:p>
    <w:p w14:paraId="08CAAE7B" w14:textId="2518AA5B" w:rsidR="003345E9" w:rsidRPr="00EB023D" w:rsidRDefault="003345E9" w:rsidP="00D66519">
      <w:pPr>
        <w:ind w:left="200"/>
        <w:jc w:val="both"/>
      </w:pPr>
      <w:r w:rsidRPr="00EB023D">
        <w:rPr>
          <w:rStyle w:val="Subst"/>
          <w:bCs/>
          <w:iCs/>
        </w:rPr>
        <w:t xml:space="preserve">Информация в настоящем пункте не приводится в связи с тем, что </w:t>
      </w:r>
      <w:r w:rsidR="00C41308" w:rsidRPr="00EB023D">
        <w:rPr>
          <w:rStyle w:val="Subst"/>
          <w:bCs/>
          <w:iCs/>
        </w:rPr>
        <w:t>Э</w:t>
      </w:r>
      <w:r w:rsidRPr="00EB023D">
        <w:rPr>
          <w:rStyle w:val="Subst"/>
          <w:bCs/>
          <w:iCs/>
        </w:rPr>
        <w:t>митент не выпускал облигации с залоговым обеспечением денежными требованиями</w:t>
      </w:r>
      <w:r w:rsidR="004546DF" w:rsidRPr="00EB023D">
        <w:rPr>
          <w:rStyle w:val="Subst"/>
          <w:bCs/>
          <w:iCs/>
        </w:rPr>
        <w:t>.</w:t>
      </w:r>
    </w:p>
    <w:p w14:paraId="62946D4A" w14:textId="77777777" w:rsidR="003345E9" w:rsidRPr="00EB023D" w:rsidRDefault="003345E9" w:rsidP="00554B3C">
      <w:pPr>
        <w:pStyle w:val="2"/>
        <w:jc w:val="both"/>
      </w:pPr>
      <w:bookmarkStart w:id="53" w:name="_Toc164444126"/>
      <w:r w:rsidRPr="00EB023D">
        <w:t>4.4. Сведения об объявленных и выплаченных дивидендах по акциям эмитента</w:t>
      </w:r>
      <w:bookmarkEnd w:id="53"/>
    </w:p>
    <w:p w14:paraId="73318A18" w14:textId="77777777" w:rsidR="003345E9" w:rsidRPr="00EB023D" w:rsidRDefault="003345E9" w:rsidP="00554B3C">
      <w:pPr>
        <w:ind w:left="200"/>
        <w:jc w:val="both"/>
      </w:pPr>
      <w:r w:rsidRPr="00EB023D">
        <w:t>Информация указывается в отношении дивидендов, решение о выплате (объявлении) которых принято в течение трех последних завершенных отчетных лет либо в течение всего срока с даты государственной регистрации эмитента, если эмитент осуществляет свою деятельность менее трех лет.</w:t>
      </w:r>
    </w:p>
    <w:p w14:paraId="12DA0A8B" w14:textId="77777777" w:rsidR="0009104B" w:rsidRPr="00EB023D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EB023D" w14:paraId="0CC31BEB" w14:textId="77777777" w:rsidTr="00CE2A97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D32088" w14:textId="77777777" w:rsidR="0009104B" w:rsidRPr="00EB023D" w:rsidRDefault="0009104B" w:rsidP="0009104B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D76D" w14:textId="77777777" w:rsidR="0009104B" w:rsidRPr="00EB023D" w:rsidRDefault="0009104B" w:rsidP="0009104B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BC3827" w14:textId="5C8E378D" w:rsidR="0009104B" w:rsidRPr="00EB023D" w:rsidRDefault="0009104B" w:rsidP="0009104B">
            <w:pPr>
              <w:jc w:val="center"/>
            </w:pPr>
            <w:r w:rsidRPr="00EB023D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1B799F">
              <w:t>–</w:t>
            </w:r>
            <w:r w:rsidRPr="00EB023D">
              <w:t xml:space="preserve"> 2020</w:t>
            </w:r>
            <w:r w:rsidR="001B799F">
              <w:t xml:space="preserve"> </w:t>
            </w:r>
            <w:r w:rsidRPr="00EB023D">
              <w:t>г., полный год</w:t>
            </w:r>
          </w:p>
        </w:tc>
      </w:tr>
      <w:tr w:rsidR="0009104B" w:rsidRPr="00EB023D" w14:paraId="25FF5986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12C17E" w14:textId="77777777" w:rsidR="0009104B" w:rsidRPr="00EB023D" w:rsidRDefault="0009104B" w:rsidP="0009104B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BE50" w14:textId="77777777" w:rsidR="0009104B" w:rsidRPr="00EB023D" w:rsidRDefault="0009104B" w:rsidP="0009104B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B2DE19" w14:textId="77777777" w:rsidR="0009104B" w:rsidRPr="00EB023D" w:rsidRDefault="0009104B" w:rsidP="0009104B">
            <w:pPr>
              <w:jc w:val="center"/>
            </w:pPr>
            <w:r w:rsidRPr="00EB023D">
              <w:t>3</w:t>
            </w:r>
          </w:p>
        </w:tc>
      </w:tr>
      <w:tr w:rsidR="0009104B" w:rsidRPr="00EB023D" w14:paraId="7CA90E30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1A277F" w14:textId="77777777" w:rsidR="0009104B" w:rsidRPr="00EB023D" w:rsidRDefault="0009104B" w:rsidP="0009104B">
            <w:pPr>
              <w:jc w:val="both"/>
            </w:pPr>
            <w:r w:rsidRPr="00EB023D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6A075C" w14:textId="77777777" w:rsidR="0009104B" w:rsidRPr="00EB023D" w:rsidRDefault="0009104B" w:rsidP="0009104B">
            <w:pPr>
              <w:jc w:val="both"/>
            </w:pPr>
            <w:r w:rsidRPr="00EB023D">
              <w:t>Категория (тип) акций: обыкновенные</w:t>
            </w:r>
          </w:p>
        </w:tc>
      </w:tr>
      <w:tr w:rsidR="0009104B" w:rsidRPr="00EB023D" w14:paraId="334823F1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92495C" w14:textId="77777777" w:rsidR="0009104B" w:rsidRPr="00EB023D" w:rsidRDefault="0009104B" w:rsidP="0009104B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154D6E" w14:textId="77777777" w:rsidR="0009104B" w:rsidRPr="00EB023D" w:rsidRDefault="0009104B" w:rsidP="0009104B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09104B" w:rsidRPr="00EB023D" w14:paraId="3ED2C7D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7AA1E" w14:textId="77777777" w:rsidR="0009104B" w:rsidRPr="00EB023D" w:rsidRDefault="0009104B" w:rsidP="0009104B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2B5F" w14:textId="77777777" w:rsidR="0009104B" w:rsidRPr="00EB023D" w:rsidRDefault="0009104B" w:rsidP="0009104B">
            <w:pPr>
              <w:jc w:val="both"/>
            </w:pPr>
            <w:r w:rsidRPr="00EB023D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9AB9B3" w14:textId="77777777" w:rsidR="0009104B" w:rsidRPr="00EB023D" w:rsidRDefault="0009104B" w:rsidP="0009104B">
            <w:pPr>
              <w:jc w:val="both"/>
            </w:pPr>
            <w:r w:rsidRPr="00EB023D">
              <w:t>3,36</w:t>
            </w:r>
          </w:p>
        </w:tc>
      </w:tr>
      <w:tr w:rsidR="0009104B" w:rsidRPr="00EB023D" w14:paraId="421B19E6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4A6032" w14:textId="77777777" w:rsidR="0009104B" w:rsidRPr="00EB023D" w:rsidRDefault="0009104B" w:rsidP="0009104B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421E" w14:textId="77777777" w:rsidR="0009104B" w:rsidRPr="00EB023D" w:rsidRDefault="0009104B" w:rsidP="0009104B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4A5E93" w14:textId="77777777" w:rsidR="0009104B" w:rsidRPr="00EB023D" w:rsidRDefault="0009104B" w:rsidP="0009104B">
            <w:pPr>
              <w:jc w:val="both"/>
            </w:pPr>
            <w:r w:rsidRPr="00EB023D">
              <w:t>5 997 983 040</w:t>
            </w:r>
          </w:p>
        </w:tc>
      </w:tr>
      <w:tr w:rsidR="0009104B" w:rsidRPr="00EB023D" w14:paraId="4180A532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BD66FF" w14:textId="77777777" w:rsidR="0009104B" w:rsidRPr="00EB023D" w:rsidRDefault="0009104B" w:rsidP="0009104B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0155" w14:textId="77777777" w:rsidR="0009104B" w:rsidRPr="00EB023D" w:rsidRDefault="0009104B" w:rsidP="0009104B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B0D24D" w14:textId="77777777" w:rsidR="0009104B" w:rsidRPr="00EB023D" w:rsidRDefault="0009104B" w:rsidP="0009104B">
            <w:pPr>
              <w:jc w:val="both"/>
            </w:pPr>
          </w:p>
        </w:tc>
      </w:tr>
      <w:tr w:rsidR="0009104B" w:rsidRPr="00EB023D" w14:paraId="0815E5E5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4E451A" w14:textId="77777777" w:rsidR="0009104B" w:rsidRPr="00EB023D" w:rsidRDefault="0009104B" w:rsidP="0009104B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03C2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A3197F" w14:textId="77777777" w:rsidR="0009104B" w:rsidRPr="00EB023D" w:rsidRDefault="0009104B" w:rsidP="0009104B">
            <w:pPr>
              <w:jc w:val="both"/>
            </w:pPr>
            <w:r w:rsidRPr="00EB023D">
              <w:t>-</w:t>
            </w:r>
          </w:p>
        </w:tc>
      </w:tr>
      <w:tr w:rsidR="0009104B" w:rsidRPr="00EB023D" w14:paraId="75A1B6AA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2143FA" w14:textId="77777777" w:rsidR="0009104B" w:rsidRPr="00EB023D" w:rsidRDefault="0009104B" w:rsidP="0009104B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BA17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A4F040" w14:textId="77777777" w:rsidR="0009104B" w:rsidRPr="00EB023D" w:rsidRDefault="0009104B" w:rsidP="0009104B">
            <w:pPr>
              <w:jc w:val="both"/>
            </w:pPr>
            <w:r w:rsidRPr="00EB023D">
              <w:t>69.7</w:t>
            </w:r>
          </w:p>
        </w:tc>
      </w:tr>
      <w:tr w:rsidR="0009104B" w:rsidRPr="00EB023D" w14:paraId="6DFE17D6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E99BDB" w14:textId="77777777" w:rsidR="0009104B" w:rsidRPr="00EB023D" w:rsidRDefault="0009104B" w:rsidP="0009104B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364" w14:textId="77777777" w:rsidR="0009104B" w:rsidRPr="00EB023D" w:rsidRDefault="0009104B" w:rsidP="0009104B">
            <w:pPr>
              <w:jc w:val="both"/>
            </w:pPr>
            <w:r w:rsidRPr="00EB023D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47DD35" w14:textId="77777777" w:rsidR="0009104B" w:rsidRPr="00EB023D" w:rsidRDefault="0009104B" w:rsidP="0009104B">
            <w:pPr>
              <w:jc w:val="both"/>
            </w:pPr>
            <w:r w:rsidRPr="00EB023D">
              <w:t>чистая прибыль отчетного года</w:t>
            </w:r>
          </w:p>
        </w:tc>
      </w:tr>
      <w:tr w:rsidR="0009104B" w:rsidRPr="00EB023D" w14:paraId="41426EB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E567ED" w14:textId="77777777" w:rsidR="0009104B" w:rsidRPr="00EB023D" w:rsidRDefault="0009104B" w:rsidP="0009104B">
            <w:pPr>
              <w:jc w:val="both"/>
            </w:pPr>
            <w:r w:rsidRPr="00EB023D">
              <w:lastRenderedPageBreak/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BA40" w14:textId="77777777" w:rsidR="0009104B" w:rsidRPr="00EB023D" w:rsidRDefault="0009104B" w:rsidP="0009104B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860A35" w14:textId="77777777" w:rsidR="0009104B" w:rsidRPr="00EB023D" w:rsidRDefault="0009104B" w:rsidP="0009104B">
            <w:pPr>
              <w:jc w:val="both"/>
            </w:pPr>
            <w:r w:rsidRPr="00EB023D">
              <w:t>Общее собрание акционеров 23 апреля 2021 года, протокол №б/н от 26 апреля 2021 года</w:t>
            </w:r>
          </w:p>
        </w:tc>
      </w:tr>
      <w:tr w:rsidR="0009104B" w:rsidRPr="00EB023D" w14:paraId="22468990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9F408C" w14:textId="77777777" w:rsidR="0009104B" w:rsidRPr="00EB023D" w:rsidRDefault="0009104B" w:rsidP="0009104B">
            <w:pPr>
              <w:jc w:val="both"/>
            </w:pPr>
            <w:r w:rsidRPr="00EB023D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064F" w14:textId="77777777" w:rsidR="0009104B" w:rsidRPr="00EB023D" w:rsidRDefault="0009104B" w:rsidP="0009104B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0B0187" w14:textId="77777777" w:rsidR="0009104B" w:rsidRPr="00EB023D" w:rsidRDefault="0009104B" w:rsidP="0009104B">
            <w:pPr>
              <w:jc w:val="both"/>
            </w:pPr>
            <w:r w:rsidRPr="00EB023D">
              <w:t>06.05.2021</w:t>
            </w:r>
          </w:p>
        </w:tc>
      </w:tr>
      <w:tr w:rsidR="0009104B" w:rsidRPr="00EB023D" w14:paraId="7F730EC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1813E9" w14:textId="77777777" w:rsidR="0009104B" w:rsidRPr="00EB023D" w:rsidRDefault="0009104B" w:rsidP="0009104B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86C5" w14:textId="77777777" w:rsidR="0009104B" w:rsidRPr="00EB023D" w:rsidRDefault="0009104B" w:rsidP="0009104B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FF0517" w14:textId="77777777" w:rsidR="0009104B" w:rsidRPr="00EB023D" w:rsidRDefault="0009104B" w:rsidP="0009104B">
            <w:pPr>
              <w:jc w:val="both"/>
            </w:pPr>
            <w:r w:rsidRPr="00EB023D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6 мая 2021г.: в срок не позднее 24 мая 2021г. включительно; другим лицам, зарегистрированным в реестре акционеров на 6 мая 2021 г.: в срок не позднее 15 июня 2021 г. включительно.</w:t>
            </w:r>
          </w:p>
        </w:tc>
      </w:tr>
      <w:tr w:rsidR="0009104B" w:rsidRPr="00EB023D" w14:paraId="513C6F66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0BF1AA" w14:textId="77777777" w:rsidR="0009104B" w:rsidRPr="00EB023D" w:rsidRDefault="0009104B" w:rsidP="0009104B">
            <w:pPr>
              <w:jc w:val="both"/>
            </w:pPr>
            <w:r w:rsidRPr="00EB023D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F846" w14:textId="77777777" w:rsidR="0009104B" w:rsidRPr="00EB023D" w:rsidRDefault="0009104B" w:rsidP="0009104B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3B7677" w14:textId="77777777" w:rsidR="0009104B" w:rsidRPr="00EB023D" w:rsidRDefault="0009104B" w:rsidP="0009104B">
            <w:pPr>
              <w:jc w:val="both"/>
            </w:pPr>
            <w:r w:rsidRPr="00EB023D">
              <w:t>отсутствуют</w:t>
            </w:r>
          </w:p>
        </w:tc>
      </w:tr>
      <w:tr w:rsidR="0009104B" w:rsidRPr="00EB023D" w14:paraId="3E5BFCA8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8A706D" w14:textId="77777777" w:rsidR="0009104B" w:rsidRPr="00EB023D" w:rsidRDefault="0009104B" w:rsidP="0009104B">
            <w:pPr>
              <w:jc w:val="both"/>
            </w:pPr>
            <w:r w:rsidRPr="00EB023D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07CD4E" w14:textId="77777777" w:rsidR="0009104B" w:rsidRPr="00EB023D" w:rsidRDefault="0009104B" w:rsidP="0009104B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09104B" w:rsidRPr="00EB023D" w14:paraId="0230D057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F89245" w14:textId="77777777" w:rsidR="0009104B" w:rsidRPr="00EB023D" w:rsidRDefault="0009104B" w:rsidP="0009104B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47B9" w14:textId="77777777" w:rsidR="0009104B" w:rsidRPr="00EB023D" w:rsidRDefault="0009104B" w:rsidP="0009104B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9C31D8" w14:textId="77777777" w:rsidR="0009104B" w:rsidRPr="00EB023D" w:rsidRDefault="0009104B" w:rsidP="0009104B">
            <w:pPr>
              <w:jc w:val="both"/>
            </w:pPr>
            <w:r w:rsidRPr="00EB023D">
              <w:t>5 996 873 930,88</w:t>
            </w:r>
          </w:p>
        </w:tc>
      </w:tr>
      <w:tr w:rsidR="0009104B" w:rsidRPr="00EB023D" w14:paraId="0B2F7C9A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B54276" w14:textId="77777777" w:rsidR="0009104B" w:rsidRPr="00EB023D" w:rsidRDefault="0009104B" w:rsidP="0009104B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7AA3" w14:textId="77777777" w:rsidR="0009104B" w:rsidRPr="00EB023D" w:rsidRDefault="0009104B" w:rsidP="0009104B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448859" w14:textId="77777777" w:rsidR="0009104B" w:rsidRPr="00EB023D" w:rsidRDefault="0009104B" w:rsidP="0009104B">
            <w:pPr>
              <w:jc w:val="both"/>
            </w:pPr>
            <w:r w:rsidRPr="00EB023D">
              <w:t>99.98</w:t>
            </w:r>
          </w:p>
        </w:tc>
      </w:tr>
      <w:tr w:rsidR="0009104B" w:rsidRPr="00EB023D" w14:paraId="1CB3A6D5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CBD140" w14:textId="77777777" w:rsidR="0009104B" w:rsidRPr="00EB023D" w:rsidRDefault="0009104B" w:rsidP="0009104B">
            <w:pPr>
              <w:jc w:val="both"/>
            </w:pPr>
            <w:r w:rsidRPr="00EB023D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4BA9" w14:textId="77777777" w:rsidR="0009104B" w:rsidRPr="00EB023D" w:rsidRDefault="0009104B" w:rsidP="0009104B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8E49D7" w14:textId="77777777" w:rsidR="0009104B" w:rsidRPr="00EB023D" w:rsidRDefault="0009104B" w:rsidP="0009104B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EB023D" w14:paraId="586C92B2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313F83F" w14:textId="77777777" w:rsidR="0009104B" w:rsidRPr="00EB023D" w:rsidRDefault="0009104B" w:rsidP="0009104B">
            <w:pPr>
              <w:jc w:val="both"/>
            </w:pPr>
            <w:r w:rsidRPr="00EB023D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274B93" w14:textId="77777777" w:rsidR="0009104B" w:rsidRPr="00EB023D" w:rsidRDefault="0009104B" w:rsidP="0009104B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E8B1335" w14:textId="77777777" w:rsidR="0009104B" w:rsidRPr="00EB023D" w:rsidRDefault="0009104B" w:rsidP="0009104B">
            <w:pPr>
              <w:jc w:val="both"/>
            </w:pPr>
            <w:r w:rsidRPr="00EB023D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7F50311B" w14:textId="77777777" w:rsidR="0009104B" w:rsidRPr="00EB023D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EB023D" w14:paraId="2F282A98" w14:textId="77777777" w:rsidTr="00CE2A97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8DCAF" w14:textId="77777777" w:rsidR="0009104B" w:rsidRPr="00EB023D" w:rsidRDefault="0009104B" w:rsidP="0009104B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F36D" w14:textId="77777777" w:rsidR="0009104B" w:rsidRPr="00EB023D" w:rsidRDefault="0009104B" w:rsidP="0009104B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A56BDF" w14:textId="1276BE01" w:rsidR="0009104B" w:rsidRPr="00EB023D" w:rsidRDefault="0009104B" w:rsidP="0009104B">
            <w:pPr>
              <w:jc w:val="center"/>
            </w:pPr>
            <w:r w:rsidRPr="00EB023D">
              <w:t>Отчетный период, за который (по результатам которого) выплачиваются (выплачивались) объявленные дивиденды - 2020</w:t>
            </w:r>
            <w:r w:rsidR="001B799F">
              <w:t xml:space="preserve"> </w:t>
            </w:r>
            <w:r w:rsidRPr="00EB023D">
              <w:t>г., полный год</w:t>
            </w:r>
          </w:p>
        </w:tc>
      </w:tr>
      <w:tr w:rsidR="0009104B" w:rsidRPr="00EB023D" w14:paraId="735200E2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F6E83B" w14:textId="77777777" w:rsidR="0009104B" w:rsidRPr="00EB023D" w:rsidRDefault="0009104B" w:rsidP="0009104B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DF33" w14:textId="77777777" w:rsidR="0009104B" w:rsidRPr="00EB023D" w:rsidRDefault="0009104B" w:rsidP="0009104B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7A711C" w14:textId="77777777" w:rsidR="0009104B" w:rsidRPr="00EB023D" w:rsidRDefault="0009104B" w:rsidP="0009104B">
            <w:pPr>
              <w:jc w:val="center"/>
            </w:pPr>
            <w:r w:rsidRPr="00EB023D">
              <w:t>3</w:t>
            </w:r>
          </w:p>
        </w:tc>
      </w:tr>
      <w:tr w:rsidR="0009104B" w:rsidRPr="00EB023D" w14:paraId="55CE2F5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F8C368" w14:textId="77777777" w:rsidR="0009104B" w:rsidRPr="00EB023D" w:rsidRDefault="0009104B" w:rsidP="0009104B">
            <w:pPr>
              <w:jc w:val="both"/>
            </w:pPr>
            <w:r w:rsidRPr="00EB023D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6D3671" w14:textId="77777777" w:rsidR="0009104B" w:rsidRPr="00EB023D" w:rsidRDefault="0009104B" w:rsidP="0009104B">
            <w:pPr>
              <w:jc w:val="both"/>
            </w:pPr>
            <w:r w:rsidRPr="00EB023D">
              <w:t>Категория (тип) акций: привилегированные</w:t>
            </w:r>
          </w:p>
        </w:tc>
      </w:tr>
      <w:tr w:rsidR="0009104B" w:rsidRPr="00EB023D" w14:paraId="37570404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FC0A54" w14:textId="77777777" w:rsidR="0009104B" w:rsidRPr="00EB023D" w:rsidRDefault="0009104B" w:rsidP="0009104B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53460" w14:textId="77777777" w:rsidR="0009104B" w:rsidRPr="00EB023D" w:rsidRDefault="0009104B" w:rsidP="0009104B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09104B" w:rsidRPr="00EB023D" w14:paraId="0C5D6EC7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41EFB0" w14:textId="77777777" w:rsidR="0009104B" w:rsidRPr="00EB023D" w:rsidRDefault="0009104B" w:rsidP="0009104B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EB70" w14:textId="77777777" w:rsidR="0009104B" w:rsidRPr="00EB023D" w:rsidRDefault="0009104B" w:rsidP="0009104B">
            <w:pPr>
              <w:jc w:val="both"/>
            </w:pPr>
            <w:r w:rsidRPr="00EB023D">
              <w:t xml:space="preserve">Размер объявленных дивидендов в расчете на одну акцию, </w:t>
            </w:r>
            <w:r w:rsidRPr="00EB023D">
              <w:lastRenderedPageBreak/>
              <w:t>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18D985" w14:textId="77777777" w:rsidR="0009104B" w:rsidRPr="00EB023D" w:rsidRDefault="0009104B" w:rsidP="0009104B">
            <w:pPr>
              <w:jc w:val="both"/>
            </w:pPr>
            <w:r w:rsidRPr="00EB023D">
              <w:lastRenderedPageBreak/>
              <w:t>0,25</w:t>
            </w:r>
          </w:p>
        </w:tc>
      </w:tr>
      <w:tr w:rsidR="0009104B" w:rsidRPr="00EB023D" w14:paraId="5519B2B0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6F8941" w14:textId="77777777" w:rsidR="0009104B" w:rsidRPr="00EB023D" w:rsidRDefault="0009104B" w:rsidP="0009104B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6EF7" w14:textId="77777777" w:rsidR="0009104B" w:rsidRPr="00EB023D" w:rsidRDefault="0009104B" w:rsidP="0009104B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3AA005" w14:textId="77777777" w:rsidR="0009104B" w:rsidRPr="00EB023D" w:rsidRDefault="0009104B" w:rsidP="0009104B">
            <w:pPr>
              <w:jc w:val="both"/>
            </w:pPr>
            <w:r w:rsidRPr="00EB023D">
              <w:t>29 899 000</w:t>
            </w:r>
          </w:p>
        </w:tc>
      </w:tr>
      <w:tr w:rsidR="0009104B" w:rsidRPr="00EB023D" w14:paraId="54993B8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E8DFBB" w14:textId="77777777" w:rsidR="0009104B" w:rsidRPr="00EB023D" w:rsidRDefault="0009104B" w:rsidP="0009104B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E1F2" w14:textId="77777777" w:rsidR="0009104B" w:rsidRPr="00EB023D" w:rsidRDefault="0009104B" w:rsidP="0009104B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77F906" w14:textId="77777777" w:rsidR="0009104B" w:rsidRPr="00EB023D" w:rsidRDefault="0009104B" w:rsidP="0009104B">
            <w:pPr>
              <w:jc w:val="both"/>
            </w:pPr>
          </w:p>
        </w:tc>
      </w:tr>
      <w:tr w:rsidR="0009104B" w:rsidRPr="00EB023D" w14:paraId="3186CBF5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8DE73D" w14:textId="77777777" w:rsidR="0009104B" w:rsidRPr="00EB023D" w:rsidRDefault="0009104B" w:rsidP="0009104B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DB49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A56E57" w14:textId="77777777" w:rsidR="0009104B" w:rsidRPr="00EB023D" w:rsidRDefault="0009104B" w:rsidP="0009104B">
            <w:pPr>
              <w:jc w:val="both"/>
            </w:pPr>
            <w:r w:rsidRPr="00EB023D">
              <w:t>-</w:t>
            </w:r>
          </w:p>
        </w:tc>
      </w:tr>
      <w:tr w:rsidR="0009104B" w:rsidRPr="00EB023D" w14:paraId="3F11445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4B535E" w14:textId="77777777" w:rsidR="0009104B" w:rsidRPr="00EB023D" w:rsidRDefault="0009104B" w:rsidP="0009104B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FD10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FE2654" w14:textId="02F91049" w:rsidR="0009104B" w:rsidRPr="00EB023D" w:rsidRDefault="000A1AD9" w:rsidP="0009104B">
            <w:pPr>
              <w:jc w:val="both"/>
            </w:pPr>
            <w:r w:rsidRPr="00EB023D">
              <w:t>0,</w:t>
            </w:r>
            <w:r w:rsidR="0009104B" w:rsidRPr="00EB023D">
              <w:t>35</w:t>
            </w:r>
          </w:p>
        </w:tc>
      </w:tr>
      <w:tr w:rsidR="0009104B" w:rsidRPr="00EB023D" w14:paraId="20A22183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77F063" w14:textId="77777777" w:rsidR="0009104B" w:rsidRPr="00EB023D" w:rsidRDefault="0009104B" w:rsidP="0009104B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C893" w14:textId="77777777" w:rsidR="0009104B" w:rsidRPr="00EB023D" w:rsidRDefault="0009104B" w:rsidP="0009104B">
            <w:pPr>
              <w:jc w:val="both"/>
            </w:pPr>
            <w:r w:rsidRPr="00EB023D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149B99" w14:textId="77777777" w:rsidR="0009104B" w:rsidRPr="00EB023D" w:rsidRDefault="0009104B" w:rsidP="0009104B">
            <w:pPr>
              <w:jc w:val="both"/>
            </w:pPr>
            <w:r w:rsidRPr="00EB023D">
              <w:t>чистая прибыль отчетного года</w:t>
            </w:r>
          </w:p>
        </w:tc>
      </w:tr>
      <w:tr w:rsidR="0009104B" w:rsidRPr="00EB023D" w14:paraId="742A937A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EC6BC5" w14:textId="77777777" w:rsidR="0009104B" w:rsidRPr="00EB023D" w:rsidRDefault="0009104B" w:rsidP="0009104B">
            <w:pPr>
              <w:jc w:val="both"/>
            </w:pPr>
            <w:r w:rsidRPr="00EB023D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1B7D" w14:textId="77777777" w:rsidR="0009104B" w:rsidRPr="00EB023D" w:rsidRDefault="0009104B" w:rsidP="0009104B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FE69B9" w14:textId="77777777" w:rsidR="0009104B" w:rsidRPr="00EB023D" w:rsidRDefault="0009104B" w:rsidP="0009104B">
            <w:pPr>
              <w:jc w:val="both"/>
            </w:pPr>
            <w:r w:rsidRPr="00EB023D">
              <w:t>Общее собрание акционеров 23 апреля 2021 года, протокол №б/н от 26 апреля 2021 года</w:t>
            </w:r>
          </w:p>
        </w:tc>
      </w:tr>
      <w:tr w:rsidR="0009104B" w:rsidRPr="00EB023D" w14:paraId="08B3AC5C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68B525" w14:textId="77777777" w:rsidR="0009104B" w:rsidRPr="00EB023D" w:rsidRDefault="0009104B" w:rsidP="0009104B">
            <w:pPr>
              <w:jc w:val="both"/>
            </w:pPr>
            <w:r w:rsidRPr="00EB023D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0FCD" w14:textId="77777777" w:rsidR="0009104B" w:rsidRPr="00EB023D" w:rsidRDefault="0009104B" w:rsidP="0009104B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3D10A0" w14:textId="77777777" w:rsidR="0009104B" w:rsidRPr="00EB023D" w:rsidRDefault="0009104B" w:rsidP="0009104B">
            <w:pPr>
              <w:jc w:val="both"/>
            </w:pPr>
            <w:r w:rsidRPr="00EB023D">
              <w:t>06.05.2021</w:t>
            </w:r>
          </w:p>
        </w:tc>
      </w:tr>
      <w:tr w:rsidR="0009104B" w:rsidRPr="00EB023D" w14:paraId="0E05D5A0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E7FDFD" w14:textId="77777777" w:rsidR="0009104B" w:rsidRPr="00EB023D" w:rsidRDefault="0009104B" w:rsidP="0009104B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D86F" w14:textId="77777777" w:rsidR="0009104B" w:rsidRPr="00EB023D" w:rsidRDefault="0009104B" w:rsidP="0009104B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06E82C" w14:textId="77777777" w:rsidR="0009104B" w:rsidRPr="00EB023D" w:rsidRDefault="0009104B" w:rsidP="0009104B">
            <w:pPr>
              <w:jc w:val="both"/>
            </w:pPr>
            <w:r w:rsidRPr="00EB023D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6 мая 2021г.: в срок не позднее 24 мая 2021г. включительно; другим лицам, зарегистрированным в реестре акционеров на 6 мая 2021 г.: в срок не позднее 15 июня 2021 г. включительно.</w:t>
            </w:r>
          </w:p>
        </w:tc>
      </w:tr>
      <w:tr w:rsidR="0009104B" w:rsidRPr="00EB023D" w14:paraId="6E55A743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E1157F" w14:textId="77777777" w:rsidR="0009104B" w:rsidRPr="00EB023D" w:rsidRDefault="0009104B" w:rsidP="0009104B">
            <w:pPr>
              <w:jc w:val="both"/>
            </w:pPr>
            <w:r w:rsidRPr="00EB023D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6FB9" w14:textId="77777777" w:rsidR="0009104B" w:rsidRPr="00EB023D" w:rsidRDefault="0009104B" w:rsidP="0009104B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84C3BB" w14:textId="77777777" w:rsidR="0009104B" w:rsidRPr="00EB023D" w:rsidRDefault="0009104B" w:rsidP="0009104B">
            <w:pPr>
              <w:jc w:val="both"/>
            </w:pPr>
            <w:r w:rsidRPr="00EB023D">
              <w:t>отсутствуют</w:t>
            </w:r>
          </w:p>
        </w:tc>
      </w:tr>
      <w:tr w:rsidR="0009104B" w:rsidRPr="00EB023D" w14:paraId="3724835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FE965F" w14:textId="77777777" w:rsidR="0009104B" w:rsidRPr="00EB023D" w:rsidRDefault="0009104B" w:rsidP="0009104B">
            <w:pPr>
              <w:jc w:val="both"/>
            </w:pPr>
            <w:r w:rsidRPr="00EB023D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DB9D0B" w14:textId="77777777" w:rsidR="0009104B" w:rsidRPr="00EB023D" w:rsidRDefault="0009104B" w:rsidP="0009104B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09104B" w:rsidRPr="00EB023D" w14:paraId="0A18B58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D074DC" w14:textId="77777777" w:rsidR="0009104B" w:rsidRPr="00EB023D" w:rsidRDefault="0009104B" w:rsidP="0009104B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C8E0" w14:textId="77777777" w:rsidR="0009104B" w:rsidRPr="00EB023D" w:rsidRDefault="0009104B" w:rsidP="0009104B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6A38FA" w14:textId="77777777" w:rsidR="0009104B" w:rsidRPr="00EB023D" w:rsidRDefault="0009104B" w:rsidP="0009104B">
            <w:pPr>
              <w:jc w:val="both"/>
            </w:pPr>
            <w:r w:rsidRPr="00EB023D">
              <w:t>29 839 562,50</w:t>
            </w:r>
          </w:p>
        </w:tc>
      </w:tr>
      <w:tr w:rsidR="0009104B" w:rsidRPr="00EB023D" w14:paraId="00059303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F996D2" w14:textId="77777777" w:rsidR="0009104B" w:rsidRPr="00EB023D" w:rsidRDefault="0009104B" w:rsidP="0009104B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E3C3" w14:textId="77777777" w:rsidR="0009104B" w:rsidRPr="00EB023D" w:rsidRDefault="0009104B" w:rsidP="0009104B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FD71D9" w14:textId="77777777" w:rsidR="0009104B" w:rsidRPr="00EB023D" w:rsidRDefault="0009104B" w:rsidP="0009104B">
            <w:pPr>
              <w:jc w:val="both"/>
            </w:pPr>
            <w:r w:rsidRPr="00EB023D">
              <w:t>99.8</w:t>
            </w:r>
          </w:p>
        </w:tc>
      </w:tr>
      <w:tr w:rsidR="0009104B" w:rsidRPr="00EB023D" w14:paraId="5883BEC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E59342" w14:textId="77777777" w:rsidR="0009104B" w:rsidRPr="00EB023D" w:rsidRDefault="0009104B" w:rsidP="0009104B">
            <w:pPr>
              <w:jc w:val="both"/>
            </w:pPr>
            <w:r w:rsidRPr="00EB023D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3B85" w14:textId="77777777" w:rsidR="0009104B" w:rsidRPr="00EB023D" w:rsidRDefault="0009104B" w:rsidP="0009104B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AB3E5A" w14:textId="77777777" w:rsidR="0009104B" w:rsidRPr="00EB023D" w:rsidRDefault="0009104B" w:rsidP="0009104B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EB023D" w14:paraId="57E87C0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13B18C8" w14:textId="77777777" w:rsidR="0009104B" w:rsidRPr="00EB023D" w:rsidRDefault="0009104B" w:rsidP="0009104B">
            <w:pPr>
              <w:jc w:val="both"/>
            </w:pPr>
            <w:r w:rsidRPr="00EB023D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32A2D8" w14:textId="77777777" w:rsidR="0009104B" w:rsidRPr="00EB023D" w:rsidRDefault="0009104B" w:rsidP="0009104B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9E31C8" w14:textId="77777777" w:rsidR="0009104B" w:rsidRPr="00EB023D" w:rsidRDefault="0009104B" w:rsidP="0009104B">
            <w:pPr>
              <w:jc w:val="both"/>
            </w:pPr>
            <w:r w:rsidRPr="00EB023D">
              <w:t xml:space="preserve">В соответствии с п.9 ст.42 Федерального закона «Об акционерных обществах», дивиденды, невостребованные акционерами в течение трех лет после истечения </w:t>
            </w:r>
            <w:r w:rsidRPr="00EB023D">
              <w:lastRenderedPageBreak/>
              <w:t>срока их выплаты, подлежат восстановлению в составе нераспределенной прибыли Общества</w:t>
            </w:r>
          </w:p>
        </w:tc>
      </w:tr>
    </w:tbl>
    <w:p w14:paraId="1C00612D" w14:textId="77777777" w:rsidR="0009104B" w:rsidRPr="00EB023D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EB023D" w14:paraId="3FC6F332" w14:textId="77777777" w:rsidTr="00CE2A97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9CB0D8" w14:textId="77777777" w:rsidR="0009104B" w:rsidRPr="00EB023D" w:rsidRDefault="0009104B" w:rsidP="0009104B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42D4" w14:textId="77777777" w:rsidR="0009104B" w:rsidRPr="00EB023D" w:rsidRDefault="0009104B" w:rsidP="0009104B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C5C296" w14:textId="211BF261" w:rsidR="0009104B" w:rsidRPr="00EB023D" w:rsidRDefault="0009104B" w:rsidP="0009104B">
            <w:pPr>
              <w:jc w:val="center"/>
            </w:pPr>
            <w:r w:rsidRPr="00EB023D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1B799F">
              <w:t>–</w:t>
            </w:r>
            <w:r w:rsidRPr="00EB023D">
              <w:t xml:space="preserve"> 2021</w:t>
            </w:r>
            <w:r w:rsidR="001B799F">
              <w:t xml:space="preserve"> </w:t>
            </w:r>
            <w:r w:rsidRPr="00EB023D">
              <w:t>г., 6 мес.</w:t>
            </w:r>
          </w:p>
        </w:tc>
      </w:tr>
      <w:tr w:rsidR="0009104B" w:rsidRPr="00EB023D" w14:paraId="5C312ED7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6CA4FF" w14:textId="77777777" w:rsidR="0009104B" w:rsidRPr="00EB023D" w:rsidRDefault="0009104B" w:rsidP="0009104B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B0B1" w14:textId="77777777" w:rsidR="0009104B" w:rsidRPr="00EB023D" w:rsidRDefault="0009104B" w:rsidP="0009104B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4138EA" w14:textId="77777777" w:rsidR="0009104B" w:rsidRPr="00EB023D" w:rsidRDefault="0009104B" w:rsidP="0009104B">
            <w:pPr>
              <w:jc w:val="center"/>
            </w:pPr>
            <w:r w:rsidRPr="00EB023D">
              <w:t>3</w:t>
            </w:r>
          </w:p>
        </w:tc>
      </w:tr>
      <w:tr w:rsidR="0009104B" w:rsidRPr="00EB023D" w14:paraId="73A06BB2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DED308" w14:textId="77777777" w:rsidR="0009104B" w:rsidRPr="00EB023D" w:rsidRDefault="0009104B" w:rsidP="0009104B">
            <w:pPr>
              <w:jc w:val="both"/>
            </w:pPr>
            <w:r w:rsidRPr="00EB023D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52CD72" w14:textId="77777777" w:rsidR="0009104B" w:rsidRPr="00EB023D" w:rsidRDefault="0009104B" w:rsidP="0009104B">
            <w:pPr>
              <w:jc w:val="both"/>
            </w:pPr>
            <w:r w:rsidRPr="00EB023D">
              <w:t>Категория (тип) акций: обыкновенные</w:t>
            </w:r>
          </w:p>
        </w:tc>
      </w:tr>
      <w:tr w:rsidR="0009104B" w:rsidRPr="00EB023D" w14:paraId="7B0B7645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509155" w14:textId="77777777" w:rsidR="0009104B" w:rsidRPr="00EB023D" w:rsidRDefault="0009104B" w:rsidP="0009104B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E46BE1" w14:textId="77777777" w:rsidR="0009104B" w:rsidRPr="00EB023D" w:rsidRDefault="0009104B" w:rsidP="0009104B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09104B" w:rsidRPr="00EB023D" w14:paraId="3FC39E5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C5259D" w14:textId="77777777" w:rsidR="0009104B" w:rsidRPr="00EB023D" w:rsidRDefault="0009104B" w:rsidP="0009104B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A4EC" w14:textId="77777777" w:rsidR="0009104B" w:rsidRPr="00EB023D" w:rsidRDefault="0009104B" w:rsidP="0009104B">
            <w:pPr>
              <w:jc w:val="both"/>
            </w:pPr>
            <w:r w:rsidRPr="00EB023D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039DA5" w14:textId="77777777" w:rsidR="0009104B" w:rsidRPr="00EB023D" w:rsidRDefault="0009104B" w:rsidP="0009104B">
            <w:pPr>
              <w:jc w:val="both"/>
            </w:pPr>
            <w:r w:rsidRPr="00EB023D">
              <w:t>5,745</w:t>
            </w:r>
          </w:p>
        </w:tc>
      </w:tr>
      <w:tr w:rsidR="0009104B" w:rsidRPr="00EB023D" w14:paraId="4245143B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9EA59B" w14:textId="77777777" w:rsidR="0009104B" w:rsidRPr="00EB023D" w:rsidRDefault="0009104B" w:rsidP="0009104B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0D04" w14:textId="77777777" w:rsidR="0009104B" w:rsidRPr="00EB023D" w:rsidRDefault="0009104B" w:rsidP="0009104B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B426E6" w14:textId="77777777" w:rsidR="0009104B" w:rsidRPr="00EB023D" w:rsidRDefault="0009104B" w:rsidP="0009104B">
            <w:pPr>
              <w:jc w:val="both"/>
            </w:pPr>
            <w:r w:rsidRPr="00EB023D">
              <w:t>10 255 479 930</w:t>
            </w:r>
          </w:p>
        </w:tc>
      </w:tr>
      <w:tr w:rsidR="0009104B" w:rsidRPr="00EB023D" w14:paraId="45E7392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25EAA1" w14:textId="77777777" w:rsidR="0009104B" w:rsidRPr="00EB023D" w:rsidRDefault="0009104B" w:rsidP="0009104B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2278" w14:textId="77777777" w:rsidR="0009104B" w:rsidRPr="00EB023D" w:rsidRDefault="0009104B" w:rsidP="0009104B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E2125C" w14:textId="77777777" w:rsidR="0009104B" w:rsidRPr="00EB023D" w:rsidRDefault="0009104B" w:rsidP="0009104B">
            <w:pPr>
              <w:jc w:val="both"/>
            </w:pPr>
          </w:p>
        </w:tc>
      </w:tr>
      <w:tr w:rsidR="0009104B" w:rsidRPr="00EB023D" w14:paraId="650BFB24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894073" w14:textId="77777777" w:rsidR="0009104B" w:rsidRPr="00EB023D" w:rsidRDefault="0009104B" w:rsidP="0009104B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5217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AC4626" w14:textId="77777777" w:rsidR="0009104B" w:rsidRPr="00EB023D" w:rsidRDefault="0009104B" w:rsidP="0009104B">
            <w:pPr>
              <w:jc w:val="both"/>
            </w:pPr>
            <w:r w:rsidRPr="00EB023D">
              <w:t>-</w:t>
            </w:r>
          </w:p>
        </w:tc>
      </w:tr>
      <w:tr w:rsidR="0009104B" w:rsidRPr="00EB023D" w14:paraId="743D54C8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AE7E08" w14:textId="77777777" w:rsidR="0009104B" w:rsidRPr="00EB023D" w:rsidRDefault="0009104B" w:rsidP="0009104B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A63E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6747E0" w14:textId="77777777" w:rsidR="0009104B" w:rsidRPr="00EB023D" w:rsidRDefault="0009104B" w:rsidP="0009104B">
            <w:pPr>
              <w:jc w:val="both"/>
            </w:pPr>
            <w:r w:rsidRPr="00A235B6">
              <w:t>69,8</w:t>
            </w:r>
          </w:p>
        </w:tc>
      </w:tr>
      <w:tr w:rsidR="0009104B" w:rsidRPr="00EB023D" w14:paraId="336A8B1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EA78F6" w14:textId="77777777" w:rsidR="0009104B" w:rsidRPr="00EB023D" w:rsidRDefault="0009104B" w:rsidP="0009104B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5C66" w14:textId="77777777" w:rsidR="0009104B" w:rsidRPr="00EB023D" w:rsidRDefault="0009104B" w:rsidP="0009104B">
            <w:pPr>
              <w:jc w:val="both"/>
            </w:pPr>
            <w:r w:rsidRPr="00EB023D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F85F3D" w14:textId="77777777" w:rsidR="0009104B" w:rsidRPr="00EB023D" w:rsidRDefault="0009104B" w:rsidP="0009104B">
            <w:pPr>
              <w:jc w:val="both"/>
            </w:pPr>
            <w:r w:rsidRPr="00EB023D">
              <w:t>чистая прибыль отчетного периода</w:t>
            </w:r>
          </w:p>
        </w:tc>
      </w:tr>
      <w:tr w:rsidR="0009104B" w:rsidRPr="00EB023D" w14:paraId="13003284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67BD37" w14:textId="77777777" w:rsidR="0009104B" w:rsidRPr="00EB023D" w:rsidRDefault="0009104B" w:rsidP="0009104B">
            <w:pPr>
              <w:jc w:val="both"/>
            </w:pPr>
            <w:r w:rsidRPr="00EB023D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AD1D" w14:textId="77777777" w:rsidR="0009104B" w:rsidRPr="00EB023D" w:rsidRDefault="0009104B" w:rsidP="0009104B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480BFA" w14:textId="77777777" w:rsidR="0009104B" w:rsidRPr="00EB023D" w:rsidRDefault="0009104B" w:rsidP="0009104B">
            <w:pPr>
              <w:jc w:val="both"/>
            </w:pPr>
            <w:r w:rsidRPr="00EB023D">
              <w:t>Общее собрание акционеров 8 сентября 2021 года, протокол №б/н от 13 сентября 2021 года</w:t>
            </w:r>
          </w:p>
        </w:tc>
      </w:tr>
      <w:tr w:rsidR="0009104B" w:rsidRPr="00EB023D" w14:paraId="52DB1421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9EAA61" w14:textId="77777777" w:rsidR="0009104B" w:rsidRPr="00EB023D" w:rsidRDefault="0009104B" w:rsidP="0009104B">
            <w:pPr>
              <w:jc w:val="both"/>
            </w:pPr>
            <w:r w:rsidRPr="00EB023D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F619" w14:textId="77777777" w:rsidR="0009104B" w:rsidRPr="00EB023D" w:rsidRDefault="0009104B" w:rsidP="0009104B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BFF307" w14:textId="77777777" w:rsidR="0009104B" w:rsidRPr="00EB023D" w:rsidRDefault="0009104B" w:rsidP="0009104B">
            <w:pPr>
              <w:jc w:val="both"/>
            </w:pPr>
            <w:r w:rsidRPr="00EB023D">
              <w:t>20.09.2021</w:t>
            </w:r>
          </w:p>
        </w:tc>
      </w:tr>
      <w:tr w:rsidR="0009104B" w:rsidRPr="00EB023D" w14:paraId="480B465B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A025DB" w14:textId="77777777" w:rsidR="0009104B" w:rsidRPr="00EB023D" w:rsidRDefault="0009104B" w:rsidP="0009104B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23AA" w14:textId="77777777" w:rsidR="0009104B" w:rsidRPr="00EB023D" w:rsidRDefault="0009104B" w:rsidP="0009104B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3A1A2E" w14:textId="77777777" w:rsidR="0009104B" w:rsidRPr="00EB023D" w:rsidRDefault="0009104B" w:rsidP="0009104B">
            <w:pPr>
              <w:jc w:val="both"/>
            </w:pPr>
            <w:r w:rsidRPr="00EB023D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20 сентября 2021 г.: в срок не позднее 04 октября 2021 г. включительно; другим лицам, зарегистрированным в реестре акционеров на 20 сентября 2021 г.: в срок не позднее 25 октября 2021 г. включительно.</w:t>
            </w:r>
          </w:p>
        </w:tc>
      </w:tr>
      <w:tr w:rsidR="0009104B" w:rsidRPr="00EB023D" w14:paraId="0AF47D44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96DD42" w14:textId="77777777" w:rsidR="0009104B" w:rsidRPr="00EB023D" w:rsidRDefault="0009104B" w:rsidP="0009104B">
            <w:pPr>
              <w:jc w:val="both"/>
            </w:pPr>
            <w:r w:rsidRPr="00EB023D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22C3" w14:textId="77777777" w:rsidR="0009104B" w:rsidRPr="00EB023D" w:rsidRDefault="0009104B" w:rsidP="0009104B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49815C" w14:textId="77777777" w:rsidR="0009104B" w:rsidRPr="00EB023D" w:rsidRDefault="0009104B" w:rsidP="0009104B">
            <w:pPr>
              <w:jc w:val="both"/>
            </w:pPr>
            <w:r w:rsidRPr="00EB023D">
              <w:t>отсутствуют.</w:t>
            </w:r>
          </w:p>
        </w:tc>
      </w:tr>
      <w:tr w:rsidR="0009104B" w:rsidRPr="00EB023D" w14:paraId="68748CCC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76612F" w14:textId="77777777" w:rsidR="0009104B" w:rsidRPr="00EB023D" w:rsidRDefault="0009104B" w:rsidP="0009104B">
            <w:pPr>
              <w:jc w:val="both"/>
            </w:pPr>
            <w:r w:rsidRPr="00EB023D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7B2CDB" w14:textId="77777777" w:rsidR="0009104B" w:rsidRPr="00EB023D" w:rsidRDefault="0009104B" w:rsidP="0009104B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09104B" w:rsidRPr="00EB023D" w14:paraId="55A05B0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4A53A3" w14:textId="77777777" w:rsidR="0009104B" w:rsidRPr="00EB023D" w:rsidRDefault="0009104B" w:rsidP="0009104B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72C6" w14:textId="77777777" w:rsidR="0009104B" w:rsidRPr="00EB023D" w:rsidRDefault="0009104B" w:rsidP="0009104B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7AF89D" w14:textId="77777777" w:rsidR="0009104B" w:rsidRPr="00EB023D" w:rsidRDefault="0009104B" w:rsidP="0009104B">
            <w:pPr>
              <w:jc w:val="both"/>
            </w:pPr>
            <w:r w:rsidRPr="00EB023D">
              <w:t>10 254 006 883,71</w:t>
            </w:r>
          </w:p>
        </w:tc>
      </w:tr>
      <w:tr w:rsidR="0009104B" w:rsidRPr="00EB023D" w14:paraId="56EA48B6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D1EE86" w14:textId="77777777" w:rsidR="0009104B" w:rsidRPr="00EB023D" w:rsidRDefault="0009104B" w:rsidP="0009104B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3444" w14:textId="77777777" w:rsidR="0009104B" w:rsidRPr="00EB023D" w:rsidRDefault="0009104B" w:rsidP="0009104B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B9E746" w14:textId="77777777" w:rsidR="0009104B" w:rsidRPr="00EB023D" w:rsidRDefault="0009104B" w:rsidP="0009104B">
            <w:pPr>
              <w:jc w:val="both"/>
            </w:pPr>
            <w:r w:rsidRPr="00EB023D">
              <w:t>99.99</w:t>
            </w:r>
          </w:p>
        </w:tc>
      </w:tr>
      <w:tr w:rsidR="0009104B" w:rsidRPr="00EB023D" w14:paraId="736965A2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F4579D" w14:textId="77777777" w:rsidR="0009104B" w:rsidRPr="00EB023D" w:rsidRDefault="0009104B" w:rsidP="0009104B">
            <w:pPr>
              <w:jc w:val="both"/>
            </w:pPr>
            <w:r w:rsidRPr="00EB023D">
              <w:lastRenderedPageBreak/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18A5" w14:textId="77777777" w:rsidR="0009104B" w:rsidRPr="00EB023D" w:rsidRDefault="0009104B" w:rsidP="0009104B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086077" w14:textId="77777777" w:rsidR="0009104B" w:rsidRPr="00EB023D" w:rsidRDefault="0009104B" w:rsidP="0009104B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EB023D" w14:paraId="5A521BC5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D6CDEBB" w14:textId="77777777" w:rsidR="0009104B" w:rsidRPr="00EB023D" w:rsidRDefault="0009104B" w:rsidP="0009104B">
            <w:pPr>
              <w:jc w:val="both"/>
            </w:pPr>
            <w:r w:rsidRPr="00EB023D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A98579" w14:textId="77777777" w:rsidR="0009104B" w:rsidRPr="00EB023D" w:rsidRDefault="0009104B" w:rsidP="0009104B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724F1F" w14:textId="77777777" w:rsidR="0009104B" w:rsidRPr="00EB023D" w:rsidRDefault="0009104B" w:rsidP="0009104B">
            <w:pPr>
              <w:jc w:val="both"/>
            </w:pPr>
            <w:r w:rsidRPr="00EB023D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1C79127C" w14:textId="77777777" w:rsidR="0009104B" w:rsidRPr="00EB023D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EB023D" w14:paraId="66C66420" w14:textId="77777777" w:rsidTr="00CE2A97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C6EE9E" w14:textId="77777777" w:rsidR="0009104B" w:rsidRPr="00EB023D" w:rsidRDefault="0009104B" w:rsidP="0009104B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1FDB" w14:textId="77777777" w:rsidR="0009104B" w:rsidRPr="00EB023D" w:rsidRDefault="0009104B" w:rsidP="0009104B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7BE328" w14:textId="1587C3CB" w:rsidR="0009104B" w:rsidRPr="00EB023D" w:rsidRDefault="0009104B" w:rsidP="0009104B">
            <w:pPr>
              <w:jc w:val="center"/>
            </w:pPr>
            <w:r w:rsidRPr="00EB023D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1B799F">
              <w:t>–</w:t>
            </w:r>
            <w:r w:rsidRPr="00EB023D">
              <w:t xml:space="preserve"> 2021</w:t>
            </w:r>
            <w:r w:rsidR="001B799F">
              <w:t xml:space="preserve"> </w:t>
            </w:r>
            <w:r w:rsidRPr="00EB023D">
              <w:t>г., 6 мес.</w:t>
            </w:r>
          </w:p>
        </w:tc>
      </w:tr>
      <w:tr w:rsidR="0009104B" w:rsidRPr="00EB023D" w14:paraId="01935D7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FBFD5C" w14:textId="77777777" w:rsidR="0009104B" w:rsidRPr="00EB023D" w:rsidRDefault="0009104B" w:rsidP="0009104B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952D" w14:textId="77777777" w:rsidR="0009104B" w:rsidRPr="00EB023D" w:rsidRDefault="0009104B" w:rsidP="0009104B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EEC89F" w14:textId="77777777" w:rsidR="0009104B" w:rsidRPr="00EB023D" w:rsidRDefault="0009104B" w:rsidP="0009104B">
            <w:pPr>
              <w:jc w:val="center"/>
            </w:pPr>
            <w:r w:rsidRPr="00EB023D">
              <w:t>3</w:t>
            </w:r>
          </w:p>
        </w:tc>
      </w:tr>
      <w:tr w:rsidR="0009104B" w:rsidRPr="00EB023D" w14:paraId="19292867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75990B" w14:textId="77777777" w:rsidR="0009104B" w:rsidRPr="00EB023D" w:rsidRDefault="0009104B" w:rsidP="0009104B">
            <w:pPr>
              <w:jc w:val="both"/>
            </w:pPr>
            <w:r w:rsidRPr="00EB023D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7CE34E" w14:textId="77777777" w:rsidR="0009104B" w:rsidRPr="00EB023D" w:rsidRDefault="0009104B" w:rsidP="0009104B">
            <w:pPr>
              <w:jc w:val="both"/>
            </w:pPr>
            <w:r w:rsidRPr="00EB023D">
              <w:t>Категория (тип) акций: привилегированные</w:t>
            </w:r>
          </w:p>
        </w:tc>
      </w:tr>
      <w:tr w:rsidR="0009104B" w:rsidRPr="00EB023D" w14:paraId="14F40A77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FFB96E" w14:textId="77777777" w:rsidR="0009104B" w:rsidRPr="00EB023D" w:rsidRDefault="0009104B" w:rsidP="0009104B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798BC7" w14:textId="77777777" w:rsidR="0009104B" w:rsidRPr="00EB023D" w:rsidRDefault="0009104B" w:rsidP="0009104B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09104B" w:rsidRPr="00EB023D" w14:paraId="545A4671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424168" w14:textId="77777777" w:rsidR="0009104B" w:rsidRPr="00EB023D" w:rsidRDefault="0009104B" w:rsidP="0009104B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2C3E" w14:textId="77777777" w:rsidR="0009104B" w:rsidRPr="00EB023D" w:rsidRDefault="0009104B" w:rsidP="0009104B">
            <w:pPr>
              <w:jc w:val="both"/>
            </w:pPr>
            <w:r w:rsidRPr="00EB023D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B20AF0" w14:textId="77777777" w:rsidR="0009104B" w:rsidRPr="00EB023D" w:rsidRDefault="0009104B" w:rsidP="0009104B">
            <w:pPr>
              <w:jc w:val="both"/>
            </w:pPr>
            <w:r w:rsidRPr="00EB023D">
              <w:t>0,25</w:t>
            </w:r>
          </w:p>
        </w:tc>
      </w:tr>
      <w:tr w:rsidR="0009104B" w:rsidRPr="00EB023D" w14:paraId="06FF77F0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4D522A" w14:textId="77777777" w:rsidR="0009104B" w:rsidRPr="00EB023D" w:rsidRDefault="0009104B" w:rsidP="0009104B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EB6C" w14:textId="77777777" w:rsidR="0009104B" w:rsidRPr="00EB023D" w:rsidRDefault="0009104B" w:rsidP="0009104B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358A18" w14:textId="77777777" w:rsidR="0009104B" w:rsidRPr="00EB023D" w:rsidRDefault="0009104B" w:rsidP="0009104B">
            <w:pPr>
              <w:jc w:val="both"/>
            </w:pPr>
            <w:r w:rsidRPr="00EB023D">
              <w:t>29 899 000,00</w:t>
            </w:r>
          </w:p>
        </w:tc>
      </w:tr>
      <w:tr w:rsidR="0009104B" w:rsidRPr="00EB023D" w14:paraId="0920C17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A8F507" w14:textId="77777777" w:rsidR="0009104B" w:rsidRPr="00EB023D" w:rsidRDefault="0009104B" w:rsidP="0009104B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C1EC" w14:textId="77777777" w:rsidR="0009104B" w:rsidRPr="00EB023D" w:rsidRDefault="0009104B" w:rsidP="0009104B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382CEF" w14:textId="77777777" w:rsidR="0009104B" w:rsidRPr="00EB023D" w:rsidRDefault="0009104B" w:rsidP="0009104B">
            <w:pPr>
              <w:jc w:val="both"/>
            </w:pPr>
          </w:p>
        </w:tc>
      </w:tr>
      <w:tr w:rsidR="0009104B" w:rsidRPr="00EB023D" w14:paraId="1637F3B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ABAB21" w14:textId="77777777" w:rsidR="0009104B" w:rsidRPr="00EB023D" w:rsidRDefault="0009104B" w:rsidP="0009104B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FF34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DB7582" w14:textId="77777777" w:rsidR="0009104B" w:rsidRPr="00EB023D" w:rsidRDefault="0009104B" w:rsidP="0009104B">
            <w:pPr>
              <w:jc w:val="both"/>
            </w:pPr>
            <w:r w:rsidRPr="00EB023D">
              <w:t>-</w:t>
            </w:r>
          </w:p>
        </w:tc>
      </w:tr>
      <w:tr w:rsidR="0009104B" w:rsidRPr="00EB023D" w14:paraId="61CA1FA4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8E68B5" w14:textId="77777777" w:rsidR="0009104B" w:rsidRPr="00EB023D" w:rsidRDefault="0009104B" w:rsidP="0009104B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D9CC" w14:textId="77777777" w:rsidR="0009104B" w:rsidRPr="00EB023D" w:rsidRDefault="0009104B" w:rsidP="0009104B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D72C45" w14:textId="77777777" w:rsidR="0009104B" w:rsidRPr="00EB023D" w:rsidRDefault="0009104B" w:rsidP="0009104B">
            <w:pPr>
              <w:jc w:val="both"/>
            </w:pPr>
            <w:r w:rsidRPr="00EB023D">
              <w:t>0,2</w:t>
            </w:r>
          </w:p>
        </w:tc>
      </w:tr>
      <w:tr w:rsidR="0009104B" w:rsidRPr="00EB023D" w14:paraId="0A3F67CC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2CC8D9" w14:textId="77777777" w:rsidR="0009104B" w:rsidRPr="00EB023D" w:rsidRDefault="0009104B" w:rsidP="0009104B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E062" w14:textId="77777777" w:rsidR="0009104B" w:rsidRPr="00EB023D" w:rsidRDefault="0009104B" w:rsidP="0009104B">
            <w:pPr>
              <w:jc w:val="both"/>
            </w:pPr>
            <w:r w:rsidRPr="00EB023D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A9E83E" w14:textId="77777777" w:rsidR="0009104B" w:rsidRPr="00EB023D" w:rsidRDefault="0009104B" w:rsidP="0009104B">
            <w:pPr>
              <w:jc w:val="both"/>
            </w:pPr>
            <w:r w:rsidRPr="00EB023D">
              <w:t>чистая прибыль отчетного периода</w:t>
            </w:r>
          </w:p>
        </w:tc>
      </w:tr>
      <w:tr w:rsidR="0009104B" w:rsidRPr="00EB023D" w14:paraId="6081E01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7DA559" w14:textId="77777777" w:rsidR="0009104B" w:rsidRPr="00EB023D" w:rsidRDefault="0009104B" w:rsidP="0009104B">
            <w:pPr>
              <w:jc w:val="both"/>
            </w:pPr>
            <w:r w:rsidRPr="00EB023D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0F91" w14:textId="77777777" w:rsidR="0009104B" w:rsidRPr="00EB023D" w:rsidRDefault="0009104B" w:rsidP="0009104B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8AE50B" w14:textId="77777777" w:rsidR="0009104B" w:rsidRPr="00EB023D" w:rsidRDefault="0009104B" w:rsidP="0009104B">
            <w:pPr>
              <w:jc w:val="both"/>
            </w:pPr>
            <w:r w:rsidRPr="00EB023D">
              <w:t>Общее собрание акционеров 8 сентября 2021 года, протокол №б/н от 13 сентября 2021 года</w:t>
            </w:r>
          </w:p>
        </w:tc>
      </w:tr>
      <w:tr w:rsidR="0009104B" w:rsidRPr="00EB023D" w14:paraId="0B2D0165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7FA1F5" w14:textId="77777777" w:rsidR="0009104B" w:rsidRPr="00EB023D" w:rsidRDefault="0009104B" w:rsidP="0009104B">
            <w:pPr>
              <w:jc w:val="both"/>
            </w:pPr>
            <w:r w:rsidRPr="00EB023D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23A6" w14:textId="77777777" w:rsidR="0009104B" w:rsidRPr="00EB023D" w:rsidRDefault="0009104B" w:rsidP="0009104B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E563A8" w14:textId="77777777" w:rsidR="0009104B" w:rsidRPr="00EB023D" w:rsidRDefault="0009104B" w:rsidP="0009104B">
            <w:pPr>
              <w:jc w:val="both"/>
            </w:pPr>
            <w:r w:rsidRPr="00EB023D">
              <w:t>20.09.2021</w:t>
            </w:r>
          </w:p>
        </w:tc>
      </w:tr>
      <w:tr w:rsidR="0009104B" w:rsidRPr="00EB023D" w14:paraId="251BD51A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9B3F9B" w14:textId="77777777" w:rsidR="0009104B" w:rsidRPr="00EB023D" w:rsidRDefault="0009104B" w:rsidP="0009104B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F4D3" w14:textId="77777777" w:rsidR="0009104B" w:rsidRPr="00EB023D" w:rsidRDefault="0009104B" w:rsidP="0009104B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34227D" w14:textId="77777777" w:rsidR="0009104B" w:rsidRPr="00EB023D" w:rsidRDefault="0009104B" w:rsidP="0009104B">
            <w:pPr>
              <w:jc w:val="both"/>
            </w:pPr>
            <w:r w:rsidRPr="00EB023D">
              <w:t xml:space="preserve"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20 сентября 2021 г.: в </w:t>
            </w:r>
            <w:r w:rsidRPr="00EB023D">
              <w:lastRenderedPageBreak/>
              <w:t>срок не позднее 04 октября 2021 г. включительно; другим лицам, зарегистрированным в реестре акционеров на 20 сентября 2021 г.: в срок не позднее 25 октября 2021 г. включительно.</w:t>
            </w:r>
          </w:p>
        </w:tc>
      </w:tr>
      <w:tr w:rsidR="0009104B" w:rsidRPr="00EB023D" w14:paraId="6690C29A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CB090F" w14:textId="77777777" w:rsidR="0009104B" w:rsidRPr="00EB023D" w:rsidRDefault="0009104B" w:rsidP="0009104B">
            <w:pPr>
              <w:jc w:val="both"/>
            </w:pPr>
            <w:r w:rsidRPr="00EB023D">
              <w:lastRenderedPageBreak/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614A" w14:textId="77777777" w:rsidR="0009104B" w:rsidRPr="00EB023D" w:rsidRDefault="0009104B" w:rsidP="0009104B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CC0962" w14:textId="77777777" w:rsidR="0009104B" w:rsidRPr="00EB023D" w:rsidRDefault="0009104B" w:rsidP="0009104B">
            <w:pPr>
              <w:jc w:val="both"/>
            </w:pPr>
            <w:r w:rsidRPr="00EB023D">
              <w:t>отсутствуют.</w:t>
            </w:r>
          </w:p>
        </w:tc>
      </w:tr>
      <w:tr w:rsidR="0009104B" w:rsidRPr="00EB023D" w14:paraId="20C40835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868228" w14:textId="77777777" w:rsidR="0009104B" w:rsidRPr="00EB023D" w:rsidRDefault="0009104B" w:rsidP="0009104B">
            <w:pPr>
              <w:jc w:val="both"/>
            </w:pPr>
            <w:r w:rsidRPr="00EB023D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3C2E2A" w14:textId="77777777" w:rsidR="0009104B" w:rsidRPr="00EB023D" w:rsidRDefault="0009104B" w:rsidP="0009104B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09104B" w:rsidRPr="00EB023D" w14:paraId="0E880186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7B91FA" w14:textId="77777777" w:rsidR="0009104B" w:rsidRPr="00EB023D" w:rsidRDefault="0009104B" w:rsidP="0009104B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EA8D" w14:textId="77777777" w:rsidR="0009104B" w:rsidRPr="00EB023D" w:rsidRDefault="0009104B" w:rsidP="0009104B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820F0B" w14:textId="77777777" w:rsidR="0009104B" w:rsidRPr="00EB023D" w:rsidRDefault="0009104B" w:rsidP="0009104B">
            <w:pPr>
              <w:jc w:val="both"/>
            </w:pPr>
            <w:r w:rsidRPr="00EB023D">
              <w:t>29 849 162,50</w:t>
            </w:r>
          </w:p>
        </w:tc>
      </w:tr>
      <w:tr w:rsidR="0009104B" w:rsidRPr="00EB023D" w14:paraId="1C36DDF0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AF3425" w14:textId="77777777" w:rsidR="0009104B" w:rsidRPr="00EB023D" w:rsidRDefault="0009104B" w:rsidP="0009104B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2756" w14:textId="77777777" w:rsidR="0009104B" w:rsidRPr="00EB023D" w:rsidRDefault="0009104B" w:rsidP="0009104B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A1FB69" w14:textId="77777777" w:rsidR="0009104B" w:rsidRPr="00EB023D" w:rsidRDefault="0009104B" w:rsidP="0009104B">
            <w:pPr>
              <w:jc w:val="both"/>
            </w:pPr>
            <w:r w:rsidRPr="00EB023D">
              <w:t>99.8</w:t>
            </w:r>
          </w:p>
        </w:tc>
      </w:tr>
      <w:tr w:rsidR="0009104B" w:rsidRPr="00EB023D" w14:paraId="0F0A6A0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ECFE26" w14:textId="77777777" w:rsidR="0009104B" w:rsidRPr="00EB023D" w:rsidRDefault="0009104B" w:rsidP="0009104B">
            <w:pPr>
              <w:jc w:val="both"/>
            </w:pPr>
            <w:r w:rsidRPr="00EB023D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0053" w14:textId="77777777" w:rsidR="0009104B" w:rsidRPr="00EB023D" w:rsidRDefault="0009104B" w:rsidP="0009104B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1C4832" w14:textId="77777777" w:rsidR="0009104B" w:rsidRPr="00EB023D" w:rsidRDefault="0009104B" w:rsidP="0009104B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EB023D" w14:paraId="23F0B767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D933DEE" w14:textId="77777777" w:rsidR="0009104B" w:rsidRPr="00EB023D" w:rsidRDefault="0009104B" w:rsidP="0009104B">
            <w:pPr>
              <w:jc w:val="both"/>
            </w:pPr>
            <w:r w:rsidRPr="00EB023D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BB98B2" w14:textId="77777777" w:rsidR="0009104B" w:rsidRPr="00EB023D" w:rsidRDefault="0009104B" w:rsidP="0009104B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BDDB836" w14:textId="77777777" w:rsidR="0009104B" w:rsidRPr="00EB023D" w:rsidRDefault="0009104B" w:rsidP="0009104B">
            <w:pPr>
              <w:jc w:val="both"/>
            </w:pPr>
            <w:r w:rsidRPr="00EB023D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13DC1206" w14:textId="77777777" w:rsidR="0009104B" w:rsidRPr="00EB023D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EB023D" w14:paraId="689CE47B" w14:textId="77777777" w:rsidTr="00CE2A97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AC1A49" w14:textId="77777777" w:rsidR="0009104B" w:rsidRPr="00EB023D" w:rsidRDefault="0009104B" w:rsidP="00CE2A97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65DE" w14:textId="77777777" w:rsidR="0009104B" w:rsidRPr="00EB023D" w:rsidRDefault="0009104B" w:rsidP="00CE2A97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45DF85" w14:textId="0D17CE57" w:rsidR="0009104B" w:rsidRPr="00EB023D" w:rsidRDefault="0009104B" w:rsidP="0009104B">
            <w:pPr>
              <w:jc w:val="center"/>
            </w:pPr>
            <w:r w:rsidRPr="00EB023D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1B799F">
              <w:t>–</w:t>
            </w:r>
            <w:r w:rsidRPr="00EB023D">
              <w:t xml:space="preserve"> 2021</w:t>
            </w:r>
            <w:r w:rsidR="001B799F">
              <w:t xml:space="preserve"> </w:t>
            </w:r>
            <w:r w:rsidRPr="00EB023D">
              <w:t>г., полный год</w:t>
            </w:r>
          </w:p>
        </w:tc>
      </w:tr>
      <w:tr w:rsidR="0009104B" w:rsidRPr="00EB023D" w14:paraId="176F9D14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F6237D" w14:textId="77777777" w:rsidR="0009104B" w:rsidRPr="00EB023D" w:rsidRDefault="0009104B" w:rsidP="00CE2A97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6653" w14:textId="77777777" w:rsidR="0009104B" w:rsidRPr="00EB023D" w:rsidRDefault="0009104B" w:rsidP="00CE2A97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AE57EB" w14:textId="77777777" w:rsidR="0009104B" w:rsidRPr="00EB023D" w:rsidRDefault="0009104B" w:rsidP="00CE2A97">
            <w:pPr>
              <w:jc w:val="center"/>
            </w:pPr>
            <w:r w:rsidRPr="00EB023D">
              <w:t>3</w:t>
            </w:r>
          </w:p>
        </w:tc>
      </w:tr>
      <w:tr w:rsidR="0009104B" w:rsidRPr="00EB023D" w14:paraId="68307FB2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E9BF6A" w14:textId="77777777" w:rsidR="0009104B" w:rsidRPr="00EB023D" w:rsidRDefault="0009104B" w:rsidP="00CE2A97">
            <w:pPr>
              <w:jc w:val="both"/>
            </w:pPr>
            <w:r w:rsidRPr="00EB023D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61135C" w14:textId="77777777" w:rsidR="0009104B" w:rsidRPr="00EB023D" w:rsidRDefault="0009104B" w:rsidP="00CE2A97">
            <w:pPr>
              <w:jc w:val="both"/>
            </w:pPr>
            <w:r w:rsidRPr="00EB023D">
              <w:t>Категория (тип) акций: обыкновенные</w:t>
            </w:r>
          </w:p>
        </w:tc>
      </w:tr>
      <w:tr w:rsidR="0009104B" w:rsidRPr="00EB023D" w14:paraId="13551A52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9FB040" w14:textId="77777777" w:rsidR="0009104B" w:rsidRPr="00EB023D" w:rsidRDefault="0009104B" w:rsidP="00CE2A97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393FE6" w14:textId="77777777" w:rsidR="0009104B" w:rsidRPr="00EB023D" w:rsidRDefault="0009104B" w:rsidP="00CE2A97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09104B" w:rsidRPr="00EB023D" w14:paraId="6573F3B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DF855E" w14:textId="77777777" w:rsidR="0009104B" w:rsidRPr="00EB023D" w:rsidRDefault="0009104B" w:rsidP="00CE2A97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4F3A" w14:textId="77777777" w:rsidR="0009104B" w:rsidRPr="00EB023D" w:rsidRDefault="0009104B" w:rsidP="00CE2A97">
            <w:pPr>
              <w:jc w:val="both"/>
            </w:pPr>
            <w:r w:rsidRPr="00EB023D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482303" w14:textId="77777777" w:rsidR="0009104B" w:rsidRPr="00EB023D" w:rsidRDefault="00972245" w:rsidP="00CE2A97">
            <w:pPr>
              <w:jc w:val="both"/>
            </w:pPr>
            <w:r w:rsidRPr="00EB023D">
              <w:t>3,9741 руб.</w:t>
            </w:r>
          </w:p>
        </w:tc>
      </w:tr>
      <w:tr w:rsidR="0009104B" w:rsidRPr="00EB023D" w14:paraId="4EAA8E4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5AAF12" w14:textId="77777777" w:rsidR="0009104B" w:rsidRPr="00EB023D" w:rsidRDefault="0009104B" w:rsidP="00CE2A97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005C" w14:textId="77777777" w:rsidR="0009104B" w:rsidRPr="00EB023D" w:rsidRDefault="0009104B" w:rsidP="00CE2A97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499374" w14:textId="77777777" w:rsidR="0009104B" w:rsidRPr="00EB023D" w:rsidRDefault="0018105C" w:rsidP="00CE2A97">
            <w:pPr>
              <w:jc w:val="both"/>
            </w:pPr>
            <w:r w:rsidRPr="00EB023D">
              <w:t>7 094 221 547,40</w:t>
            </w:r>
          </w:p>
        </w:tc>
      </w:tr>
      <w:tr w:rsidR="0009104B" w:rsidRPr="00EB023D" w14:paraId="40AE372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21EC8E" w14:textId="77777777" w:rsidR="0009104B" w:rsidRPr="00EB023D" w:rsidRDefault="0009104B" w:rsidP="00CE2A97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A920" w14:textId="77777777" w:rsidR="0009104B" w:rsidRPr="00EB023D" w:rsidRDefault="0009104B" w:rsidP="00CE2A97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710A8B" w14:textId="77777777" w:rsidR="0009104B" w:rsidRPr="00EB023D" w:rsidRDefault="0009104B" w:rsidP="00CE2A97">
            <w:pPr>
              <w:jc w:val="both"/>
            </w:pPr>
          </w:p>
        </w:tc>
      </w:tr>
      <w:tr w:rsidR="0009104B" w:rsidRPr="00EB023D" w14:paraId="239EB2CD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86F05D" w14:textId="77777777" w:rsidR="0009104B" w:rsidRPr="00EB023D" w:rsidRDefault="0009104B" w:rsidP="00CE2A97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2323" w14:textId="77777777" w:rsidR="0009104B" w:rsidRPr="00EB023D" w:rsidRDefault="0009104B" w:rsidP="00CE2A97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10B93A" w14:textId="77777777" w:rsidR="0009104B" w:rsidRPr="00EB023D" w:rsidRDefault="0009104B" w:rsidP="00CE2A97">
            <w:pPr>
              <w:jc w:val="both"/>
            </w:pPr>
            <w:r w:rsidRPr="00EB023D">
              <w:t>-</w:t>
            </w:r>
          </w:p>
        </w:tc>
      </w:tr>
      <w:tr w:rsidR="0009104B" w:rsidRPr="00EB023D" w14:paraId="55D28158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3E15F3" w14:textId="77777777" w:rsidR="0009104B" w:rsidRPr="00EB023D" w:rsidRDefault="0009104B" w:rsidP="00CE2A97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DCF3" w14:textId="77777777" w:rsidR="0009104B" w:rsidRPr="00EB023D" w:rsidRDefault="0009104B" w:rsidP="00CE2A97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152FAA" w14:textId="7840A80E" w:rsidR="00DB56FA" w:rsidRPr="00C937DE" w:rsidRDefault="00C937DE" w:rsidP="00CE2A97">
            <w:pPr>
              <w:jc w:val="both"/>
            </w:pPr>
            <w:r>
              <w:t>28,52</w:t>
            </w:r>
          </w:p>
        </w:tc>
      </w:tr>
      <w:tr w:rsidR="0009104B" w:rsidRPr="00EB023D" w14:paraId="0E4DF758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B8FF17" w14:textId="77777777" w:rsidR="0009104B" w:rsidRPr="00EB023D" w:rsidRDefault="0009104B" w:rsidP="00CE2A97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BAF8" w14:textId="77777777" w:rsidR="0009104B" w:rsidRPr="00EB023D" w:rsidRDefault="0009104B" w:rsidP="00CE2A97">
            <w:pPr>
              <w:jc w:val="both"/>
            </w:pPr>
            <w:r w:rsidRPr="00EB023D">
              <w:t xml:space="preserve">Источник выплаты объявленных дивидендов (чистая </w:t>
            </w:r>
            <w:r w:rsidRPr="00EB023D">
              <w:lastRenderedPageBreak/>
              <w:t>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F79CFA" w14:textId="77777777" w:rsidR="0009104B" w:rsidRPr="00EB023D" w:rsidRDefault="0009104B" w:rsidP="00CE2A97">
            <w:pPr>
              <w:jc w:val="both"/>
            </w:pPr>
            <w:r w:rsidRPr="00EB023D">
              <w:lastRenderedPageBreak/>
              <w:t>чистая прибыль отчетного периода</w:t>
            </w:r>
          </w:p>
        </w:tc>
      </w:tr>
      <w:tr w:rsidR="0009104B" w:rsidRPr="00EB023D" w14:paraId="19ABD87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169A3F" w14:textId="77777777" w:rsidR="0009104B" w:rsidRPr="00EB023D" w:rsidRDefault="0009104B" w:rsidP="00CE2A97">
            <w:pPr>
              <w:jc w:val="both"/>
            </w:pPr>
            <w:r w:rsidRPr="00EB023D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5454" w14:textId="77777777" w:rsidR="0009104B" w:rsidRPr="00EB023D" w:rsidRDefault="0009104B" w:rsidP="00CE2A97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37F481" w14:textId="77777777" w:rsidR="0009104B" w:rsidRPr="00EB023D" w:rsidRDefault="0009104B" w:rsidP="00C47D1D">
            <w:pPr>
              <w:jc w:val="both"/>
            </w:pPr>
            <w:r w:rsidRPr="00EB023D">
              <w:t xml:space="preserve">Общее собрание акционеров </w:t>
            </w:r>
            <w:r w:rsidR="00C47D1D" w:rsidRPr="00EB023D">
              <w:t>30 июня 2022 года</w:t>
            </w:r>
            <w:r w:rsidRPr="00EB023D">
              <w:t>, протокол №</w:t>
            </w:r>
            <w:r w:rsidR="00C47D1D" w:rsidRPr="00EB023D">
              <w:t>01</w:t>
            </w:r>
            <w:r w:rsidRPr="00EB023D">
              <w:t xml:space="preserve"> от </w:t>
            </w:r>
            <w:r w:rsidR="00C47D1D" w:rsidRPr="00EB023D">
              <w:t>05</w:t>
            </w:r>
            <w:r w:rsidRPr="00EB023D">
              <w:t xml:space="preserve"> </w:t>
            </w:r>
            <w:r w:rsidR="00C47D1D" w:rsidRPr="00EB023D">
              <w:t>июля</w:t>
            </w:r>
            <w:r w:rsidRPr="00EB023D">
              <w:t xml:space="preserve"> 202</w:t>
            </w:r>
            <w:r w:rsidR="00C47D1D" w:rsidRPr="00EB023D">
              <w:t>2</w:t>
            </w:r>
            <w:r w:rsidRPr="00EB023D">
              <w:t xml:space="preserve"> года</w:t>
            </w:r>
          </w:p>
        </w:tc>
      </w:tr>
      <w:tr w:rsidR="0009104B" w:rsidRPr="00EB023D" w14:paraId="464846CE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9C6B1A" w14:textId="77777777" w:rsidR="0009104B" w:rsidRPr="00EB023D" w:rsidRDefault="0009104B" w:rsidP="00CE2A97">
            <w:pPr>
              <w:jc w:val="both"/>
            </w:pPr>
            <w:r w:rsidRPr="00EB023D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B9C9" w14:textId="77777777" w:rsidR="0009104B" w:rsidRPr="00EB023D" w:rsidRDefault="0009104B" w:rsidP="00CE2A97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7518E1" w14:textId="77777777" w:rsidR="0009104B" w:rsidRPr="00EB023D" w:rsidRDefault="00972245" w:rsidP="00CE2A97">
            <w:pPr>
              <w:jc w:val="both"/>
            </w:pPr>
            <w:r w:rsidRPr="00EB023D">
              <w:t>11 июля 2022 года</w:t>
            </w:r>
          </w:p>
        </w:tc>
      </w:tr>
      <w:tr w:rsidR="0009104B" w:rsidRPr="00EB023D" w14:paraId="2421177C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D12939" w14:textId="77777777" w:rsidR="0009104B" w:rsidRPr="00EB023D" w:rsidRDefault="0009104B" w:rsidP="00CE2A97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481F" w14:textId="77777777" w:rsidR="0009104B" w:rsidRPr="00EB023D" w:rsidRDefault="0009104B" w:rsidP="00CE2A97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06B3FD" w14:textId="77777777" w:rsidR="0018105C" w:rsidRPr="00EB023D" w:rsidRDefault="0018105C" w:rsidP="0018105C">
            <w:pPr>
              <w:jc w:val="both"/>
            </w:pPr>
            <w:r w:rsidRPr="00EB023D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2022 года: не позднее 25 июля 2022 года включительно;</w:t>
            </w:r>
          </w:p>
          <w:p w14:paraId="7E33CBDF" w14:textId="77777777" w:rsidR="0009104B" w:rsidRPr="00EB023D" w:rsidRDefault="0018105C" w:rsidP="0018105C">
            <w:pPr>
              <w:jc w:val="both"/>
            </w:pPr>
            <w:r w:rsidRPr="00EB023D">
              <w:t>другим лицам, зарегистрированным в реестре акционеров на 11 июля 2022 года: не позднее 15 августа 2022 года включительно.</w:t>
            </w:r>
          </w:p>
        </w:tc>
      </w:tr>
      <w:tr w:rsidR="0009104B" w:rsidRPr="00EB023D" w14:paraId="0BFDE48F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8EB210" w14:textId="77777777" w:rsidR="0009104B" w:rsidRPr="00EB023D" w:rsidRDefault="0009104B" w:rsidP="00CE2A97">
            <w:pPr>
              <w:jc w:val="both"/>
            </w:pPr>
            <w:r w:rsidRPr="00EB023D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C444" w14:textId="77777777" w:rsidR="0009104B" w:rsidRPr="00EB023D" w:rsidRDefault="0009104B" w:rsidP="00CE2A97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E31DE1" w14:textId="77777777" w:rsidR="0009104B" w:rsidRPr="00EB023D" w:rsidRDefault="0009104B" w:rsidP="00CE2A97">
            <w:pPr>
              <w:jc w:val="both"/>
            </w:pPr>
            <w:r w:rsidRPr="00EB023D">
              <w:t>отсутствуют.</w:t>
            </w:r>
          </w:p>
        </w:tc>
      </w:tr>
      <w:tr w:rsidR="0009104B" w:rsidRPr="00EB023D" w14:paraId="24F57E4C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35EEAF" w14:textId="77777777" w:rsidR="0009104B" w:rsidRPr="00EB023D" w:rsidRDefault="0009104B" w:rsidP="00CE2A97">
            <w:pPr>
              <w:jc w:val="both"/>
            </w:pPr>
            <w:r w:rsidRPr="00EB023D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1273E8" w14:textId="77777777" w:rsidR="0009104B" w:rsidRPr="00EB023D" w:rsidRDefault="0009104B" w:rsidP="00CE2A97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09104B" w:rsidRPr="00EB023D" w14:paraId="5A2811EF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FAFC8D" w14:textId="77777777" w:rsidR="0009104B" w:rsidRPr="00EB023D" w:rsidRDefault="0009104B" w:rsidP="00CE2A97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B059" w14:textId="77777777" w:rsidR="0009104B" w:rsidRPr="00EB023D" w:rsidRDefault="0009104B" w:rsidP="00CE2A97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F51B60" w14:textId="77777777" w:rsidR="0009104B" w:rsidRPr="00EB023D" w:rsidRDefault="0018105C" w:rsidP="0018105C">
            <w:pPr>
              <w:jc w:val="both"/>
            </w:pPr>
            <w:r w:rsidRPr="00EB023D">
              <w:t>7 085 754 214,69</w:t>
            </w:r>
          </w:p>
        </w:tc>
      </w:tr>
      <w:tr w:rsidR="0009104B" w:rsidRPr="00EB023D" w14:paraId="784253B9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44D26B" w14:textId="77777777" w:rsidR="0009104B" w:rsidRPr="00EB023D" w:rsidRDefault="0009104B" w:rsidP="00CE2A97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2F7C" w14:textId="77777777" w:rsidR="0009104B" w:rsidRPr="00EB023D" w:rsidRDefault="0009104B" w:rsidP="00CE2A97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AF6F01" w14:textId="009CA156" w:rsidR="0009104B" w:rsidRPr="00EB023D" w:rsidRDefault="00E3071F" w:rsidP="00CE2A97">
            <w:pPr>
              <w:jc w:val="both"/>
            </w:pPr>
            <w:r w:rsidRPr="00EB023D">
              <w:t>99,9</w:t>
            </w:r>
          </w:p>
        </w:tc>
      </w:tr>
      <w:tr w:rsidR="0009104B" w:rsidRPr="00EB023D" w14:paraId="7B20759F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92E2A9" w14:textId="77777777" w:rsidR="0009104B" w:rsidRPr="00EB023D" w:rsidRDefault="0009104B" w:rsidP="00CE2A97">
            <w:pPr>
              <w:jc w:val="both"/>
            </w:pPr>
            <w:r w:rsidRPr="00EB023D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A03" w14:textId="77777777" w:rsidR="0009104B" w:rsidRPr="00EB023D" w:rsidRDefault="0009104B" w:rsidP="00CE2A97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6E8CE9" w14:textId="77777777" w:rsidR="0009104B" w:rsidRPr="00EB023D" w:rsidRDefault="0009104B" w:rsidP="00CE2A97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EB023D" w14:paraId="4134D4A6" w14:textId="77777777" w:rsidTr="00CE2A97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74D50B2" w14:textId="77777777" w:rsidR="0009104B" w:rsidRPr="00EB023D" w:rsidRDefault="0009104B" w:rsidP="00CE2A97">
            <w:pPr>
              <w:jc w:val="both"/>
            </w:pPr>
            <w:r w:rsidRPr="00EB023D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1D80EC" w14:textId="77777777" w:rsidR="0009104B" w:rsidRPr="00EB023D" w:rsidRDefault="0009104B" w:rsidP="00CE2A97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E7C9C7" w14:textId="77777777" w:rsidR="0009104B" w:rsidRPr="00EB023D" w:rsidRDefault="0009104B" w:rsidP="00CE2A97">
            <w:pPr>
              <w:jc w:val="both"/>
            </w:pPr>
            <w:r w:rsidRPr="00EB023D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67302B44" w14:textId="77777777" w:rsidR="0009104B" w:rsidRPr="00EB023D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92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EB023D" w14:paraId="7253711A" w14:textId="77777777" w:rsidTr="0018105C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F8AEA3" w14:textId="77777777" w:rsidR="0009104B" w:rsidRPr="00EB023D" w:rsidRDefault="0009104B" w:rsidP="00CE2A97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8261" w14:textId="77777777" w:rsidR="0009104B" w:rsidRPr="00EB023D" w:rsidRDefault="0009104B" w:rsidP="00CE2A97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A66A94" w14:textId="7C6D828A" w:rsidR="0009104B" w:rsidRPr="00EB023D" w:rsidRDefault="0009104B" w:rsidP="0009104B">
            <w:pPr>
              <w:jc w:val="center"/>
            </w:pPr>
            <w:r w:rsidRPr="00EB023D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1B799F">
              <w:t>–</w:t>
            </w:r>
            <w:r w:rsidRPr="00EB023D">
              <w:t xml:space="preserve"> 2021</w:t>
            </w:r>
            <w:r w:rsidR="001B799F">
              <w:t xml:space="preserve"> </w:t>
            </w:r>
            <w:r w:rsidRPr="00EB023D">
              <w:t>г., полный год</w:t>
            </w:r>
          </w:p>
        </w:tc>
      </w:tr>
      <w:tr w:rsidR="0009104B" w:rsidRPr="00EB023D" w14:paraId="12985379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26DB46" w14:textId="77777777" w:rsidR="0009104B" w:rsidRPr="00EB023D" w:rsidRDefault="0009104B" w:rsidP="00CE2A97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C467" w14:textId="77777777" w:rsidR="0009104B" w:rsidRPr="00EB023D" w:rsidRDefault="0009104B" w:rsidP="00CE2A97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997131" w14:textId="77777777" w:rsidR="0009104B" w:rsidRPr="00EB023D" w:rsidRDefault="0009104B" w:rsidP="00CE2A97">
            <w:pPr>
              <w:jc w:val="center"/>
            </w:pPr>
            <w:r w:rsidRPr="00EB023D">
              <w:t>3</w:t>
            </w:r>
          </w:p>
        </w:tc>
      </w:tr>
      <w:tr w:rsidR="0009104B" w:rsidRPr="00EB023D" w14:paraId="0A21AD40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C7074B" w14:textId="77777777" w:rsidR="0009104B" w:rsidRPr="00EB023D" w:rsidRDefault="0009104B" w:rsidP="00CE2A97">
            <w:pPr>
              <w:jc w:val="both"/>
            </w:pPr>
            <w:r w:rsidRPr="00EB023D">
              <w:lastRenderedPageBreak/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6FCD3F" w14:textId="77777777" w:rsidR="0009104B" w:rsidRPr="00EB023D" w:rsidRDefault="0009104B" w:rsidP="00CE2A97">
            <w:pPr>
              <w:jc w:val="both"/>
            </w:pPr>
            <w:r w:rsidRPr="00EB023D">
              <w:t>Категория (тип) акций: привилегированные</w:t>
            </w:r>
          </w:p>
        </w:tc>
      </w:tr>
      <w:tr w:rsidR="0009104B" w:rsidRPr="00EB023D" w14:paraId="169F6168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002F0A" w14:textId="77777777" w:rsidR="0009104B" w:rsidRPr="00EB023D" w:rsidRDefault="0009104B" w:rsidP="00CE2A97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1974B7" w14:textId="77777777" w:rsidR="0009104B" w:rsidRPr="00EB023D" w:rsidRDefault="0009104B" w:rsidP="00CE2A97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09104B" w:rsidRPr="00EB023D" w14:paraId="4AC2BC8C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688CD9" w14:textId="77777777" w:rsidR="0009104B" w:rsidRPr="00EB023D" w:rsidRDefault="0009104B" w:rsidP="00CE2A97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5844" w14:textId="77777777" w:rsidR="0009104B" w:rsidRPr="00EB023D" w:rsidRDefault="0009104B" w:rsidP="00CE2A97">
            <w:pPr>
              <w:jc w:val="both"/>
            </w:pPr>
            <w:r w:rsidRPr="00EB023D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771739" w14:textId="77777777" w:rsidR="0009104B" w:rsidRPr="00EB023D" w:rsidRDefault="0009104B" w:rsidP="00CE2A97">
            <w:pPr>
              <w:jc w:val="both"/>
            </w:pPr>
            <w:r w:rsidRPr="00EB023D">
              <w:t>0,25</w:t>
            </w:r>
          </w:p>
        </w:tc>
      </w:tr>
      <w:tr w:rsidR="0009104B" w:rsidRPr="00EB023D" w14:paraId="52C25D3C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C834B5" w14:textId="77777777" w:rsidR="0009104B" w:rsidRPr="00EB023D" w:rsidRDefault="0009104B" w:rsidP="00CE2A97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C22B" w14:textId="77777777" w:rsidR="0009104B" w:rsidRPr="00EB023D" w:rsidRDefault="0009104B" w:rsidP="00CE2A97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17D139" w14:textId="77777777" w:rsidR="0009104B" w:rsidRPr="00EB023D" w:rsidRDefault="0009104B" w:rsidP="00CE2A97">
            <w:pPr>
              <w:jc w:val="both"/>
            </w:pPr>
            <w:r w:rsidRPr="00EB023D">
              <w:t>29 899 000,00</w:t>
            </w:r>
          </w:p>
        </w:tc>
      </w:tr>
      <w:tr w:rsidR="0009104B" w:rsidRPr="00EB023D" w14:paraId="014B7390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7FA55C" w14:textId="77777777" w:rsidR="0009104B" w:rsidRPr="00EB023D" w:rsidRDefault="0009104B" w:rsidP="00CE2A97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76BE" w14:textId="77777777" w:rsidR="0009104B" w:rsidRPr="00EB023D" w:rsidRDefault="0009104B" w:rsidP="00CE2A97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9312F8" w14:textId="77777777" w:rsidR="0009104B" w:rsidRPr="00EB023D" w:rsidRDefault="0009104B" w:rsidP="00CE2A97">
            <w:pPr>
              <w:jc w:val="both"/>
            </w:pPr>
          </w:p>
        </w:tc>
      </w:tr>
      <w:tr w:rsidR="0009104B" w:rsidRPr="00EB023D" w14:paraId="170E0226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9D0905" w14:textId="77777777" w:rsidR="0009104B" w:rsidRPr="00EB023D" w:rsidRDefault="0009104B" w:rsidP="00CE2A97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D704" w14:textId="77777777" w:rsidR="0009104B" w:rsidRPr="00EB023D" w:rsidRDefault="0009104B" w:rsidP="00CE2A97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987D5D" w14:textId="77777777" w:rsidR="0009104B" w:rsidRPr="00EB023D" w:rsidRDefault="0009104B" w:rsidP="00CE2A97">
            <w:pPr>
              <w:jc w:val="both"/>
            </w:pPr>
            <w:r w:rsidRPr="00EB023D">
              <w:t>-</w:t>
            </w:r>
          </w:p>
        </w:tc>
      </w:tr>
      <w:tr w:rsidR="0009104B" w:rsidRPr="00EB023D" w14:paraId="0CC9B396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52979" w14:textId="77777777" w:rsidR="0009104B" w:rsidRPr="00EB023D" w:rsidRDefault="0009104B" w:rsidP="00CE2A97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CD3E" w14:textId="77777777" w:rsidR="0009104B" w:rsidRPr="00EB023D" w:rsidRDefault="0009104B" w:rsidP="00CE2A97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028589" w14:textId="7D6501CA" w:rsidR="0009104B" w:rsidRPr="00EB023D" w:rsidRDefault="00DB56FA" w:rsidP="00E3071F">
            <w:pPr>
              <w:jc w:val="both"/>
            </w:pPr>
            <w:r w:rsidRPr="00EB023D">
              <w:t>0,</w:t>
            </w:r>
            <w:r w:rsidR="009E2269">
              <w:t>12</w:t>
            </w:r>
          </w:p>
        </w:tc>
      </w:tr>
      <w:tr w:rsidR="0009104B" w:rsidRPr="00EB023D" w14:paraId="4F86D3DA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FB3AAA" w14:textId="77777777" w:rsidR="0009104B" w:rsidRPr="00EB023D" w:rsidRDefault="0009104B" w:rsidP="00CE2A97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55F0" w14:textId="77777777" w:rsidR="0009104B" w:rsidRPr="00EB023D" w:rsidRDefault="0009104B" w:rsidP="00CE2A97">
            <w:pPr>
              <w:jc w:val="both"/>
            </w:pPr>
            <w:r w:rsidRPr="00EB023D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1BAB48" w14:textId="77777777" w:rsidR="0009104B" w:rsidRPr="00EB023D" w:rsidRDefault="0009104B" w:rsidP="00CE2A97">
            <w:pPr>
              <w:jc w:val="both"/>
            </w:pPr>
            <w:r w:rsidRPr="00EB023D">
              <w:t>чистая прибыль отчетного периода</w:t>
            </w:r>
          </w:p>
        </w:tc>
      </w:tr>
      <w:tr w:rsidR="0018105C" w:rsidRPr="00EB023D" w14:paraId="608B7AE8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7A4537" w14:textId="77777777" w:rsidR="0018105C" w:rsidRPr="00EB023D" w:rsidRDefault="0018105C" w:rsidP="0018105C">
            <w:pPr>
              <w:jc w:val="both"/>
            </w:pPr>
            <w:r w:rsidRPr="00EB023D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FB7D" w14:textId="77777777" w:rsidR="0018105C" w:rsidRPr="00EB023D" w:rsidRDefault="0018105C" w:rsidP="0018105C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65C035" w14:textId="77777777" w:rsidR="0018105C" w:rsidRPr="00EB023D" w:rsidRDefault="0018105C" w:rsidP="0018105C">
            <w:pPr>
              <w:jc w:val="both"/>
            </w:pPr>
            <w:r w:rsidRPr="00EB023D">
              <w:t>Общее собрание акционеров 30 июня 2022 года, протокол №01 от 05 июля 2022 года</w:t>
            </w:r>
          </w:p>
        </w:tc>
      </w:tr>
      <w:tr w:rsidR="0009104B" w:rsidRPr="00EB023D" w14:paraId="2E81CD97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F70553" w14:textId="77777777" w:rsidR="0009104B" w:rsidRPr="00EB023D" w:rsidRDefault="0009104B" w:rsidP="00CE2A97">
            <w:pPr>
              <w:jc w:val="both"/>
            </w:pPr>
            <w:r w:rsidRPr="00EB023D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2255" w14:textId="77777777" w:rsidR="0009104B" w:rsidRPr="00EB023D" w:rsidRDefault="0009104B" w:rsidP="00CE2A97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F60746" w14:textId="77777777" w:rsidR="0009104B" w:rsidRPr="00EB023D" w:rsidRDefault="0018105C" w:rsidP="00CE2A97">
            <w:pPr>
              <w:jc w:val="both"/>
            </w:pPr>
            <w:r w:rsidRPr="00EB023D">
              <w:t>11 июля 2022 года</w:t>
            </w:r>
          </w:p>
        </w:tc>
      </w:tr>
      <w:tr w:rsidR="0018105C" w:rsidRPr="00EB023D" w14:paraId="0F6AF8B6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B8E66F" w14:textId="77777777" w:rsidR="0018105C" w:rsidRPr="00EB023D" w:rsidRDefault="0018105C" w:rsidP="0018105C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FC3B" w14:textId="77777777" w:rsidR="0018105C" w:rsidRPr="00EB023D" w:rsidRDefault="0018105C" w:rsidP="0018105C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1516FB" w14:textId="77777777" w:rsidR="0018105C" w:rsidRPr="00EB023D" w:rsidRDefault="0018105C" w:rsidP="0018105C">
            <w:pPr>
              <w:jc w:val="both"/>
            </w:pPr>
            <w:r w:rsidRPr="00EB023D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2022 года: не позднее 25 июля 2022 года включительно;</w:t>
            </w:r>
          </w:p>
          <w:p w14:paraId="181F9A31" w14:textId="77777777" w:rsidR="0018105C" w:rsidRPr="00EB023D" w:rsidRDefault="0018105C" w:rsidP="0018105C">
            <w:pPr>
              <w:jc w:val="both"/>
            </w:pPr>
            <w:r w:rsidRPr="00EB023D">
              <w:t>другим лицам, зарегистрированным в реестре акционеров на 11 июля 2022 года: не позднее 15 августа 2022 года включительно.</w:t>
            </w:r>
          </w:p>
        </w:tc>
      </w:tr>
      <w:tr w:rsidR="0009104B" w:rsidRPr="00EB023D" w14:paraId="22A15529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D4065B" w14:textId="77777777" w:rsidR="0009104B" w:rsidRPr="00EB023D" w:rsidRDefault="0009104B" w:rsidP="00CE2A97">
            <w:pPr>
              <w:jc w:val="both"/>
            </w:pPr>
            <w:r w:rsidRPr="00EB023D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994B" w14:textId="77777777" w:rsidR="0009104B" w:rsidRPr="00EB023D" w:rsidRDefault="0009104B" w:rsidP="00CE2A97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79899F" w14:textId="77777777" w:rsidR="0009104B" w:rsidRPr="00EB023D" w:rsidRDefault="0009104B" w:rsidP="00CE2A97">
            <w:pPr>
              <w:jc w:val="both"/>
            </w:pPr>
            <w:r w:rsidRPr="00EB023D">
              <w:t>отсутствуют.</w:t>
            </w:r>
          </w:p>
        </w:tc>
      </w:tr>
      <w:tr w:rsidR="0009104B" w:rsidRPr="00EB023D" w14:paraId="724C3419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4CB970" w14:textId="77777777" w:rsidR="0009104B" w:rsidRPr="00EB023D" w:rsidRDefault="0009104B" w:rsidP="00CE2A97">
            <w:pPr>
              <w:jc w:val="both"/>
            </w:pPr>
            <w:r w:rsidRPr="00EB023D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72C714" w14:textId="77777777" w:rsidR="0009104B" w:rsidRPr="00EB023D" w:rsidRDefault="0009104B" w:rsidP="00CE2A97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09104B" w:rsidRPr="00EB023D" w14:paraId="66440516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77A5FB" w14:textId="77777777" w:rsidR="0009104B" w:rsidRPr="00EB023D" w:rsidRDefault="0009104B" w:rsidP="00CE2A97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749C" w14:textId="77777777" w:rsidR="0009104B" w:rsidRPr="00EB023D" w:rsidRDefault="0009104B" w:rsidP="00CE2A97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B16A33" w14:textId="77777777" w:rsidR="0009104B" w:rsidRPr="00EB023D" w:rsidRDefault="0009104B" w:rsidP="0018105C">
            <w:pPr>
              <w:jc w:val="both"/>
            </w:pPr>
            <w:r w:rsidRPr="00EB023D">
              <w:t>29</w:t>
            </w:r>
            <w:r w:rsidR="0018105C" w:rsidRPr="00EB023D">
              <w:t> 557 339</w:t>
            </w:r>
          </w:p>
        </w:tc>
      </w:tr>
      <w:tr w:rsidR="0009104B" w:rsidRPr="00EB023D" w14:paraId="26536DB0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83FFAC" w14:textId="77777777" w:rsidR="0009104B" w:rsidRPr="00EB023D" w:rsidRDefault="0009104B" w:rsidP="00CE2A97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4BCB" w14:textId="77777777" w:rsidR="0009104B" w:rsidRPr="00EB023D" w:rsidRDefault="0009104B" w:rsidP="00CE2A97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0C6A35" w14:textId="77777777" w:rsidR="0009104B" w:rsidRPr="00EB023D" w:rsidRDefault="0018105C" w:rsidP="00CE2A97">
            <w:pPr>
              <w:jc w:val="both"/>
            </w:pPr>
            <w:r w:rsidRPr="00EB023D">
              <w:t>98,86</w:t>
            </w:r>
          </w:p>
        </w:tc>
      </w:tr>
      <w:tr w:rsidR="0009104B" w:rsidRPr="00EB023D" w14:paraId="27417D36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A3CB48" w14:textId="77777777" w:rsidR="0009104B" w:rsidRPr="00EB023D" w:rsidRDefault="0009104B" w:rsidP="00CE2A97">
            <w:pPr>
              <w:jc w:val="both"/>
            </w:pPr>
            <w:r w:rsidRPr="00EB023D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7AE6" w14:textId="77777777" w:rsidR="0009104B" w:rsidRPr="00EB023D" w:rsidRDefault="0009104B" w:rsidP="00CE2A97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09990E" w14:textId="77777777" w:rsidR="0009104B" w:rsidRPr="00EB023D" w:rsidRDefault="0018105C" w:rsidP="00CE2A97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EB023D" w14:paraId="02CC5480" w14:textId="77777777" w:rsidTr="0018105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6D5344" w14:textId="77777777" w:rsidR="0009104B" w:rsidRPr="00EB023D" w:rsidRDefault="0009104B" w:rsidP="00CE2A97">
            <w:pPr>
              <w:jc w:val="both"/>
            </w:pPr>
            <w:r w:rsidRPr="00EB023D">
              <w:lastRenderedPageBreak/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201896" w14:textId="77777777" w:rsidR="0009104B" w:rsidRPr="00EB023D" w:rsidRDefault="0009104B" w:rsidP="00CE2A97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5C3E3C" w14:textId="77777777" w:rsidR="0009104B" w:rsidRPr="00EB023D" w:rsidRDefault="0009104B" w:rsidP="00CE2A97">
            <w:pPr>
              <w:jc w:val="both"/>
            </w:pPr>
            <w:r w:rsidRPr="00EB023D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73D257A9" w14:textId="77777777" w:rsidR="0009104B" w:rsidRPr="00EB023D" w:rsidRDefault="0009104B" w:rsidP="00554B3C">
      <w:pPr>
        <w:ind w:left="200"/>
        <w:jc w:val="both"/>
      </w:pPr>
    </w:p>
    <w:p w14:paraId="49D77805" w14:textId="77777777" w:rsidR="001501E1" w:rsidRPr="00EB023D" w:rsidRDefault="001501E1" w:rsidP="00554B3C">
      <w:pPr>
        <w:ind w:left="200"/>
        <w:jc w:val="both"/>
        <w:rPr>
          <w:b/>
          <w:bCs/>
          <w:i/>
          <w:iCs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1501E1" w:rsidRPr="00EB023D" w14:paraId="7A45C88E" w14:textId="77777777" w:rsidTr="007D106E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E6EC11" w14:textId="77777777" w:rsidR="001501E1" w:rsidRPr="00EB023D" w:rsidRDefault="001501E1" w:rsidP="007D106E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38F2" w14:textId="77777777" w:rsidR="001501E1" w:rsidRPr="00EB023D" w:rsidRDefault="001501E1" w:rsidP="007D106E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C45D8E" w14:textId="465C1057" w:rsidR="001501E1" w:rsidRPr="00EB023D" w:rsidRDefault="001501E1" w:rsidP="007D106E">
            <w:pPr>
              <w:jc w:val="center"/>
            </w:pPr>
            <w:r w:rsidRPr="00EB023D">
              <w:t>Отчетный период, за который (по результатам которого) выплачиваются (выплачивали</w:t>
            </w:r>
            <w:r w:rsidR="00BB339B" w:rsidRPr="00EB023D">
              <w:t xml:space="preserve">сь) объявленные дивиденды </w:t>
            </w:r>
            <w:r w:rsidR="001B799F">
              <w:t>–</w:t>
            </w:r>
            <w:r w:rsidR="00BB339B" w:rsidRPr="00EB023D">
              <w:t xml:space="preserve"> 2022</w:t>
            </w:r>
            <w:r w:rsidR="001B799F">
              <w:t xml:space="preserve"> </w:t>
            </w:r>
            <w:r w:rsidRPr="00EB023D">
              <w:t>г., полный год</w:t>
            </w:r>
          </w:p>
        </w:tc>
      </w:tr>
      <w:tr w:rsidR="001501E1" w:rsidRPr="00EB023D" w14:paraId="796B1DAE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2BE3B9" w14:textId="77777777" w:rsidR="001501E1" w:rsidRPr="00EB023D" w:rsidRDefault="001501E1" w:rsidP="007D106E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1F07" w14:textId="77777777" w:rsidR="001501E1" w:rsidRPr="00EB023D" w:rsidRDefault="001501E1" w:rsidP="007D106E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CF1BD2" w14:textId="77777777" w:rsidR="001501E1" w:rsidRPr="00EB023D" w:rsidRDefault="001501E1" w:rsidP="007D106E">
            <w:pPr>
              <w:jc w:val="center"/>
            </w:pPr>
            <w:r w:rsidRPr="00EB023D">
              <w:t>3</w:t>
            </w:r>
          </w:p>
        </w:tc>
      </w:tr>
      <w:tr w:rsidR="001501E1" w:rsidRPr="00EB023D" w14:paraId="29A33FEB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5E869D" w14:textId="77777777" w:rsidR="001501E1" w:rsidRPr="00EB023D" w:rsidRDefault="001501E1" w:rsidP="007D106E">
            <w:pPr>
              <w:jc w:val="both"/>
            </w:pPr>
            <w:r w:rsidRPr="00EB023D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5EE5D0" w14:textId="77777777" w:rsidR="001501E1" w:rsidRPr="00EB023D" w:rsidRDefault="001501E1" w:rsidP="007D106E">
            <w:pPr>
              <w:jc w:val="both"/>
            </w:pPr>
            <w:r w:rsidRPr="00EB023D">
              <w:t>Категория (тип) акций: обыкновенные</w:t>
            </w:r>
          </w:p>
        </w:tc>
      </w:tr>
      <w:tr w:rsidR="001501E1" w:rsidRPr="00EB023D" w14:paraId="769E8D5C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D7EEAA" w14:textId="77777777" w:rsidR="001501E1" w:rsidRPr="00EB023D" w:rsidRDefault="001501E1" w:rsidP="007D106E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EBD6DC" w14:textId="77777777" w:rsidR="001501E1" w:rsidRPr="00EB023D" w:rsidRDefault="001501E1" w:rsidP="007D106E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1501E1" w:rsidRPr="00EB023D" w14:paraId="6DF109DE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A201A7" w14:textId="77777777" w:rsidR="001501E1" w:rsidRPr="00EB023D" w:rsidRDefault="001501E1" w:rsidP="007D106E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27A1" w14:textId="77777777" w:rsidR="001501E1" w:rsidRPr="00EB023D" w:rsidRDefault="001501E1" w:rsidP="007D106E">
            <w:pPr>
              <w:jc w:val="both"/>
            </w:pPr>
            <w:r w:rsidRPr="00EB023D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CB1BA9" w14:textId="23BA8709" w:rsidR="001501E1" w:rsidRPr="00EB023D" w:rsidRDefault="001B3E0B" w:rsidP="007D106E">
            <w:pPr>
              <w:jc w:val="both"/>
            </w:pPr>
            <w:r w:rsidRPr="00EB023D">
              <w:t>9</w:t>
            </w:r>
            <w:r w:rsidR="001501E1" w:rsidRPr="00EB023D">
              <w:t xml:space="preserve"> руб.</w:t>
            </w:r>
            <w:r w:rsidRPr="00EB023D">
              <w:t xml:space="preserve"> 10 коп.</w:t>
            </w:r>
          </w:p>
        </w:tc>
      </w:tr>
      <w:tr w:rsidR="001501E1" w:rsidRPr="00EB023D" w14:paraId="53677CD7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1483EE" w14:textId="77777777" w:rsidR="001501E1" w:rsidRPr="00EB023D" w:rsidRDefault="001501E1" w:rsidP="007D106E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2C15" w14:textId="77777777" w:rsidR="001501E1" w:rsidRPr="00EB023D" w:rsidRDefault="001501E1" w:rsidP="007D106E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A60DAD" w14:textId="1F41041A" w:rsidR="001501E1" w:rsidRPr="00EB023D" w:rsidRDefault="001B3E0B" w:rsidP="001B3E0B">
            <w:pPr>
              <w:jc w:val="both"/>
            </w:pPr>
            <w:r w:rsidRPr="00EB023D">
              <w:t>16 244 537 400 руб.</w:t>
            </w:r>
          </w:p>
        </w:tc>
      </w:tr>
      <w:tr w:rsidR="001501E1" w:rsidRPr="00EB023D" w14:paraId="2E53655D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2D1986" w14:textId="77777777" w:rsidR="001501E1" w:rsidRPr="00EB023D" w:rsidRDefault="001501E1" w:rsidP="007D106E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0638" w14:textId="77777777" w:rsidR="001501E1" w:rsidRPr="00EB023D" w:rsidRDefault="001501E1" w:rsidP="007D106E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B05255" w14:textId="77777777" w:rsidR="001501E1" w:rsidRPr="00EB023D" w:rsidRDefault="001501E1" w:rsidP="007D106E">
            <w:pPr>
              <w:jc w:val="both"/>
            </w:pPr>
          </w:p>
        </w:tc>
      </w:tr>
      <w:tr w:rsidR="001501E1" w:rsidRPr="00EB023D" w14:paraId="4C4475CB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647C7F" w14:textId="77777777" w:rsidR="001501E1" w:rsidRPr="00EB023D" w:rsidRDefault="001501E1" w:rsidP="007D106E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A90" w14:textId="77777777" w:rsidR="001501E1" w:rsidRPr="00EB023D" w:rsidRDefault="001501E1" w:rsidP="007D106E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814BC5" w14:textId="564C7107" w:rsidR="001501E1" w:rsidRPr="00EB023D" w:rsidRDefault="001E1ED3" w:rsidP="007D106E">
            <w:pPr>
              <w:jc w:val="both"/>
            </w:pPr>
            <w:r w:rsidRPr="00EB023D">
              <w:t>69,13</w:t>
            </w:r>
          </w:p>
        </w:tc>
      </w:tr>
      <w:tr w:rsidR="001501E1" w:rsidRPr="00EB023D" w14:paraId="38905F7B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67D38B" w14:textId="77777777" w:rsidR="001501E1" w:rsidRPr="00EB023D" w:rsidRDefault="001501E1" w:rsidP="007D106E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83CB" w14:textId="77777777" w:rsidR="001501E1" w:rsidRPr="00EB023D" w:rsidRDefault="001501E1" w:rsidP="007D106E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6BC5CE" w14:textId="6BE0BFFC" w:rsidR="001501E1" w:rsidRPr="00EB023D" w:rsidRDefault="001A4574" w:rsidP="007D106E">
            <w:pPr>
              <w:jc w:val="both"/>
              <w:rPr>
                <w:lang w:val="en-US"/>
              </w:rPr>
            </w:pPr>
            <w:r w:rsidRPr="00EB023D">
              <w:rPr>
                <w:lang w:val="en-US"/>
              </w:rPr>
              <w:t>-</w:t>
            </w:r>
          </w:p>
        </w:tc>
      </w:tr>
      <w:tr w:rsidR="001501E1" w:rsidRPr="00EB023D" w14:paraId="28B9E064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ABBDE3" w14:textId="77777777" w:rsidR="001501E1" w:rsidRPr="00EB023D" w:rsidRDefault="001501E1" w:rsidP="007D106E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7CE3" w14:textId="77777777" w:rsidR="001501E1" w:rsidRPr="00EB023D" w:rsidRDefault="001501E1" w:rsidP="007D106E">
            <w:pPr>
              <w:jc w:val="both"/>
            </w:pPr>
            <w:r w:rsidRPr="00EB023D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E3FEFC" w14:textId="77777777" w:rsidR="001501E1" w:rsidRPr="00EB023D" w:rsidRDefault="001501E1" w:rsidP="007D106E">
            <w:pPr>
              <w:jc w:val="both"/>
            </w:pPr>
            <w:r w:rsidRPr="00EB023D">
              <w:t>чистая прибыль отчетного периода</w:t>
            </w:r>
          </w:p>
        </w:tc>
      </w:tr>
      <w:tr w:rsidR="001501E1" w:rsidRPr="00EB023D" w14:paraId="075500A3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E223CE" w14:textId="77777777" w:rsidR="001501E1" w:rsidRPr="00EB023D" w:rsidRDefault="001501E1" w:rsidP="007D106E">
            <w:pPr>
              <w:jc w:val="both"/>
            </w:pPr>
            <w:r w:rsidRPr="00EB023D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0FA" w14:textId="77777777" w:rsidR="001501E1" w:rsidRPr="00EB023D" w:rsidRDefault="001501E1" w:rsidP="007D106E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207C7F" w14:textId="3D0B960F" w:rsidR="001501E1" w:rsidRPr="00EB023D" w:rsidRDefault="001501E1" w:rsidP="001B3E0B">
            <w:pPr>
              <w:jc w:val="both"/>
            </w:pPr>
            <w:r w:rsidRPr="00EB023D">
              <w:t xml:space="preserve">Общее </w:t>
            </w:r>
            <w:r w:rsidR="001B3E0B" w:rsidRPr="00EB023D">
              <w:t>собрание акционеров 30 июня 2023</w:t>
            </w:r>
            <w:r w:rsidRPr="00EB023D">
              <w:t xml:space="preserve"> года, протоко</w:t>
            </w:r>
            <w:r w:rsidR="001B3E0B" w:rsidRPr="00EB023D">
              <w:t>л №02</w:t>
            </w:r>
            <w:r w:rsidRPr="00EB023D">
              <w:t xml:space="preserve"> от 0</w:t>
            </w:r>
            <w:r w:rsidR="001B3E0B" w:rsidRPr="00EB023D">
              <w:t>3</w:t>
            </w:r>
            <w:r w:rsidRPr="00EB023D">
              <w:t xml:space="preserve"> июля 202</w:t>
            </w:r>
            <w:r w:rsidR="001B3E0B" w:rsidRPr="00EB023D">
              <w:t>3</w:t>
            </w:r>
            <w:r w:rsidRPr="00EB023D">
              <w:t xml:space="preserve"> года</w:t>
            </w:r>
          </w:p>
        </w:tc>
      </w:tr>
      <w:tr w:rsidR="001501E1" w:rsidRPr="00EB023D" w14:paraId="671BA8C1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06214A" w14:textId="77777777" w:rsidR="001501E1" w:rsidRPr="00EB023D" w:rsidRDefault="001501E1" w:rsidP="007D106E">
            <w:pPr>
              <w:jc w:val="both"/>
            </w:pPr>
            <w:r w:rsidRPr="00EB023D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F6EF" w14:textId="77777777" w:rsidR="001501E1" w:rsidRPr="00EB023D" w:rsidRDefault="001501E1" w:rsidP="007D106E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0933F8" w14:textId="1A65E742" w:rsidR="001501E1" w:rsidRPr="00EB023D" w:rsidRDefault="001501E1" w:rsidP="001B3E0B">
            <w:pPr>
              <w:jc w:val="both"/>
            </w:pPr>
            <w:r w:rsidRPr="00EB023D">
              <w:t>11 июля 202</w:t>
            </w:r>
            <w:r w:rsidR="001B3E0B" w:rsidRPr="00EB023D">
              <w:t>3</w:t>
            </w:r>
            <w:r w:rsidRPr="00EB023D">
              <w:t xml:space="preserve"> года</w:t>
            </w:r>
          </w:p>
        </w:tc>
      </w:tr>
      <w:tr w:rsidR="001501E1" w:rsidRPr="00EB023D" w14:paraId="38511D08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25D107" w14:textId="77777777" w:rsidR="001501E1" w:rsidRPr="00EB023D" w:rsidRDefault="001501E1" w:rsidP="007D106E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B602" w14:textId="77777777" w:rsidR="001501E1" w:rsidRPr="00EB023D" w:rsidRDefault="001501E1" w:rsidP="007D106E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2FFF10" w14:textId="3F765984" w:rsidR="00CA0D4A" w:rsidRPr="00EB023D" w:rsidRDefault="00CA0D4A" w:rsidP="00CA0D4A">
            <w:pPr>
              <w:jc w:val="both"/>
            </w:pPr>
            <w:r w:rsidRPr="00EB023D">
              <w:t>-</w:t>
            </w:r>
            <w:r w:rsidR="0001390F" w:rsidRPr="00EB023D">
              <w:t> </w:t>
            </w:r>
            <w:r w:rsidRPr="00EB023D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2023 года: не позднее 25 июля 2023 года включительно;</w:t>
            </w:r>
          </w:p>
          <w:p w14:paraId="6E25B9AD" w14:textId="5F58D2D7" w:rsidR="001501E1" w:rsidRPr="00EB023D" w:rsidRDefault="00CA0D4A" w:rsidP="00CA0D4A">
            <w:pPr>
              <w:jc w:val="both"/>
            </w:pPr>
            <w:r w:rsidRPr="00EB023D">
              <w:t>- другим лицам, зарегистрированным в реестре акционеров на 11 июля 2023 года: не позднее 15 августа 2023 года включительно.</w:t>
            </w:r>
          </w:p>
        </w:tc>
      </w:tr>
      <w:tr w:rsidR="001501E1" w:rsidRPr="00EB023D" w14:paraId="034BF898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D38710" w14:textId="77777777" w:rsidR="001501E1" w:rsidRPr="00EB023D" w:rsidRDefault="001501E1" w:rsidP="007D106E">
            <w:pPr>
              <w:jc w:val="both"/>
            </w:pPr>
            <w:r w:rsidRPr="00EB023D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2B68" w14:textId="77777777" w:rsidR="001501E1" w:rsidRPr="00EB023D" w:rsidRDefault="001501E1" w:rsidP="007D106E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1B1045" w14:textId="77777777" w:rsidR="001501E1" w:rsidRPr="00EB023D" w:rsidRDefault="001501E1" w:rsidP="007D106E">
            <w:pPr>
              <w:jc w:val="both"/>
            </w:pPr>
            <w:r w:rsidRPr="00EB023D">
              <w:t>отсутствуют.</w:t>
            </w:r>
          </w:p>
        </w:tc>
      </w:tr>
      <w:tr w:rsidR="001501E1" w:rsidRPr="00EB023D" w14:paraId="787FD0A0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8C8450" w14:textId="77777777" w:rsidR="001501E1" w:rsidRPr="00EB023D" w:rsidRDefault="001501E1" w:rsidP="007D106E">
            <w:pPr>
              <w:jc w:val="both"/>
            </w:pPr>
            <w:r w:rsidRPr="00EB023D">
              <w:lastRenderedPageBreak/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BCA12B" w14:textId="77777777" w:rsidR="001501E1" w:rsidRPr="00EB023D" w:rsidRDefault="001501E1" w:rsidP="007D106E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1501E1" w:rsidRPr="00EB023D" w14:paraId="04D08E26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737A71" w14:textId="77777777" w:rsidR="001501E1" w:rsidRPr="00EB023D" w:rsidRDefault="001501E1" w:rsidP="007D106E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25AF" w14:textId="77777777" w:rsidR="001501E1" w:rsidRPr="00EB023D" w:rsidRDefault="001501E1" w:rsidP="007D106E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0B5BE1" w14:textId="7CBF018D" w:rsidR="001501E1" w:rsidRPr="00EB023D" w:rsidRDefault="00CA0D4A" w:rsidP="0001390F">
            <w:pPr>
              <w:jc w:val="both"/>
            </w:pPr>
            <w:r w:rsidRPr="00EB023D">
              <w:t>16 243 766</w:t>
            </w:r>
            <w:r w:rsidR="0001390F" w:rsidRPr="00EB023D">
              <w:t> </w:t>
            </w:r>
            <w:r w:rsidRPr="00EB023D">
              <w:t>812</w:t>
            </w:r>
            <w:r w:rsidR="0001390F" w:rsidRPr="00EB023D">
              <w:t xml:space="preserve">,00 </w:t>
            </w:r>
          </w:p>
        </w:tc>
      </w:tr>
      <w:tr w:rsidR="001501E1" w:rsidRPr="00EB023D" w14:paraId="5D33FEC0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E9FF40" w14:textId="77777777" w:rsidR="001501E1" w:rsidRPr="00EB023D" w:rsidRDefault="001501E1" w:rsidP="007D106E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23F9" w14:textId="77777777" w:rsidR="001501E1" w:rsidRPr="00EB023D" w:rsidRDefault="001501E1" w:rsidP="007D106E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5AEC9D" w14:textId="2CB5F0EF" w:rsidR="001501E1" w:rsidRPr="00EB023D" w:rsidRDefault="00861303" w:rsidP="007D106E">
            <w:pPr>
              <w:jc w:val="both"/>
            </w:pPr>
            <w:r w:rsidRPr="00EB023D">
              <w:t>99,99</w:t>
            </w:r>
          </w:p>
        </w:tc>
      </w:tr>
      <w:tr w:rsidR="001501E1" w:rsidRPr="00EB023D" w14:paraId="52EBCF3C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C1030A" w14:textId="77777777" w:rsidR="001501E1" w:rsidRPr="00EB023D" w:rsidRDefault="001501E1" w:rsidP="007D106E">
            <w:pPr>
              <w:jc w:val="both"/>
            </w:pPr>
            <w:r w:rsidRPr="00EB023D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50B4" w14:textId="77777777" w:rsidR="001501E1" w:rsidRPr="00EB023D" w:rsidRDefault="001501E1" w:rsidP="007D106E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8ADA76" w14:textId="2F9FC376" w:rsidR="001501E1" w:rsidRPr="00EB023D" w:rsidRDefault="00861303" w:rsidP="007D106E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1501E1" w:rsidRPr="00EB023D" w14:paraId="6F7962C6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B7A2011" w14:textId="77777777" w:rsidR="001501E1" w:rsidRPr="00EB023D" w:rsidRDefault="001501E1" w:rsidP="007D106E">
            <w:pPr>
              <w:jc w:val="both"/>
            </w:pPr>
            <w:r w:rsidRPr="00EB023D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2CFBE6" w14:textId="77777777" w:rsidR="001501E1" w:rsidRPr="00EB023D" w:rsidRDefault="001501E1" w:rsidP="007D106E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C88A95" w14:textId="77777777" w:rsidR="001501E1" w:rsidRPr="00EB023D" w:rsidRDefault="001501E1" w:rsidP="007D106E">
            <w:pPr>
              <w:jc w:val="both"/>
            </w:pPr>
            <w:r w:rsidRPr="00EB023D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153331EC" w14:textId="19313578" w:rsidR="001501E1" w:rsidRPr="00EB023D" w:rsidRDefault="001501E1" w:rsidP="00554B3C">
      <w:pPr>
        <w:ind w:left="200"/>
        <w:jc w:val="both"/>
        <w:rPr>
          <w:b/>
          <w:bCs/>
          <w:i/>
          <w:iCs/>
        </w:rPr>
      </w:pPr>
    </w:p>
    <w:tbl>
      <w:tblPr>
        <w:tblW w:w="92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336609" w:rsidRPr="00EB023D" w14:paraId="5FB9C433" w14:textId="77777777" w:rsidTr="007D106E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6B7E25" w14:textId="77777777" w:rsidR="00336609" w:rsidRPr="00EB023D" w:rsidRDefault="00336609" w:rsidP="007D106E">
            <w:pPr>
              <w:jc w:val="center"/>
            </w:pPr>
            <w:r w:rsidRPr="00EB023D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2750" w14:textId="77777777" w:rsidR="00336609" w:rsidRPr="00EB023D" w:rsidRDefault="00336609" w:rsidP="007D106E">
            <w:pPr>
              <w:jc w:val="center"/>
            </w:pPr>
            <w:r w:rsidRPr="00EB023D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97E1AE" w14:textId="0A6D0AC4" w:rsidR="00336609" w:rsidRPr="00EB023D" w:rsidRDefault="00336609" w:rsidP="007D106E">
            <w:pPr>
              <w:jc w:val="center"/>
            </w:pPr>
            <w:r w:rsidRPr="00EB023D">
              <w:t>Отчетный период, за который (по результатам которого) выплачиваются (выплачивали</w:t>
            </w:r>
            <w:r w:rsidR="00861303" w:rsidRPr="00EB023D">
              <w:t xml:space="preserve">сь) объявленные дивиденды </w:t>
            </w:r>
            <w:r w:rsidR="001B799F">
              <w:t>–</w:t>
            </w:r>
            <w:r w:rsidR="00861303" w:rsidRPr="00EB023D">
              <w:t xml:space="preserve"> 2022</w:t>
            </w:r>
            <w:r w:rsidR="001B799F">
              <w:t xml:space="preserve"> </w:t>
            </w:r>
            <w:r w:rsidRPr="00EB023D">
              <w:t>г., полный год</w:t>
            </w:r>
          </w:p>
        </w:tc>
      </w:tr>
      <w:tr w:rsidR="00336609" w:rsidRPr="00EB023D" w14:paraId="03BEB9D6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A8B942" w14:textId="77777777" w:rsidR="00336609" w:rsidRPr="00EB023D" w:rsidRDefault="00336609" w:rsidP="007D106E">
            <w:pPr>
              <w:jc w:val="center"/>
            </w:pPr>
            <w:r w:rsidRPr="00EB023D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05ED" w14:textId="77777777" w:rsidR="00336609" w:rsidRPr="00EB023D" w:rsidRDefault="00336609" w:rsidP="007D106E">
            <w:pPr>
              <w:jc w:val="center"/>
            </w:pPr>
            <w:r w:rsidRPr="00EB023D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680CC6" w14:textId="77777777" w:rsidR="00336609" w:rsidRPr="00EB023D" w:rsidRDefault="00336609" w:rsidP="007D106E">
            <w:pPr>
              <w:jc w:val="center"/>
            </w:pPr>
            <w:r w:rsidRPr="00EB023D">
              <w:t>3</w:t>
            </w:r>
          </w:p>
        </w:tc>
      </w:tr>
      <w:tr w:rsidR="00336609" w:rsidRPr="00EB023D" w14:paraId="7CC5905F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EBF92B" w14:textId="77777777" w:rsidR="00336609" w:rsidRPr="00EB023D" w:rsidRDefault="00336609" w:rsidP="007D106E">
            <w:pPr>
              <w:jc w:val="both"/>
            </w:pPr>
            <w:r w:rsidRPr="00EB023D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C2C9D3" w14:textId="77777777" w:rsidR="00336609" w:rsidRPr="00EB023D" w:rsidRDefault="00336609" w:rsidP="007D106E">
            <w:pPr>
              <w:jc w:val="both"/>
            </w:pPr>
            <w:r w:rsidRPr="00EB023D">
              <w:t>Категория (тип) акций: привилегированные</w:t>
            </w:r>
          </w:p>
        </w:tc>
      </w:tr>
      <w:tr w:rsidR="00336609" w:rsidRPr="00EB023D" w14:paraId="2611D1E7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407BDB" w14:textId="77777777" w:rsidR="00336609" w:rsidRPr="00EB023D" w:rsidRDefault="00336609" w:rsidP="007D106E">
            <w:pPr>
              <w:jc w:val="both"/>
            </w:pPr>
            <w:r w:rsidRPr="00EB023D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DC5767" w14:textId="77777777" w:rsidR="00336609" w:rsidRPr="00EB023D" w:rsidRDefault="00336609" w:rsidP="007D106E">
            <w:pPr>
              <w:jc w:val="both"/>
            </w:pPr>
            <w:r w:rsidRPr="00EB023D">
              <w:t>I. Сведения об объявленных дивидендах</w:t>
            </w:r>
          </w:p>
        </w:tc>
      </w:tr>
      <w:tr w:rsidR="00336609" w:rsidRPr="00EB023D" w14:paraId="69181940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AE4956" w14:textId="77777777" w:rsidR="00336609" w:rsidRPr="00EB023D" w:rsidRDefault="00336609" w:rsidP="007D106E">
            <w:pPr>
              <w:jc w:val="both"/>
            </w:pPr>
            <w:r w:rsidRPr="00EB023D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277A" w14:textId="77777777" w:rsidR="00336609" w:rsidRPr="00EB023D" w:rsidRDefault="00336609" w:rsidP="007D106E">
            <w:pPr>
              <w:jc w:val="both"/>
            </w:pPr>
            <w:r w:rsidRPr="00EB023D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377F37" w14:textId="77777777" w:rsidR="00336609" w:rsidRPr="00EB023D" w:rsidRDefault="00336609" w:rsidP="007D106E">
            <w:pPr>
              <w:jc w:val="both"/>
            </w:pPr>
            <w:r w:rsidRPr="00EB023D">
              <w:t>0,25</w:t>
            </w:r>
          </w:p>
        </w:tc>
      </w:tr>
      <w:tr w:rsidR="00336609" w:rsidRPr="00EB023D" w14:paraId="068DECD6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8D95E6" w14:textId="77777777" w:rsidR="00336609" w:rsidRPr="00EB023D" w:rsidRDefault="00336609" w:rsidP="007D106E">
            <w:pPr>
              <w:jc w:val="both"/>
            </w:pPr>
            <w:r w:rsidRPr="00EB023D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6BD" w14:textId="77777777" w:rsidR="00336609" w:rsidRPr="00EB023D" w:rsidRDefault="00336609" w:rsidP="007D106E">
            <w:pPr>
              <w:jc w:val="both"/>
            </w:pPr>
            <w:r w:rsidRPr="00EB023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2416DC" w14:textId="77777777" w:rsidR="00336609" w:rsidRPr="00EB023D" w:rsidRDefault="00336609" w:rsidP="007D106E">
            <w:pPr>
              <w:jc w:val="both"/>
            </w:pPr>
            <w:r w:rsidRPr="00EB023D">
              <w:t>29 899 000,00</w:t>
            </w:r>
          </w:p>
        </w:tc>
      </w:tr>
      <w:tr w:rsidR="00336609" w:rsidRPr="00EB023D" w14:paraId="3658CD11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C38B56" w14:textId="77777777" w:rsidR="00336609" w:rsidRPr="00EB023D" w:rsidRDefault="00336609" w:rsidP="007D106E">
            <w:pPr>
              <w:jc w:val="both"/>
            </w:pPr>
            <w:r w:rsidRPr="00EB023D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218F" w14:textId="77777777" w:rsidR="00336609" w:rsidRPr="00EB023D" w:rsidRDefault="00336609" w:rsidP="007D106E">
            <w:pPr>
              <w:jc w:val="both"/>
            </w:pPr>
            <w:r w:rsidRPr="00EB023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A53116" w14:textId="77777777" w:rsidR="00336609" w:rsidRPr="00EB023D" w:rsidRDefault="00336609" w:rsidP="007D106E">
            <w:pPr>
              <w:jc w:val="both"/>
            </w:pPr>
          </w:p>
        </w:tc>
      </w:tr>
      <w:tr w:rsidR="00336609" w:rsidRPr="00EB023D" w14:paraId="791E3F9E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BFE83C" w14:textId="77777777" w:rsidR="00336609" w:rsidRPr="00EB023D" w:rsidRDefault="00336609" w:rsidP="007D106E">
            <w:pPr>
              <w:jc w:val="both"/>
            </w:pPr>
            <w:r w:rsidRPr="00EB023D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FE37" w14:textId="77777777" w:rsidR="00336609" w:rsidRPr="00EB023D" w:rsidRDefault="00336609" w:rsidP="007D106E">
            <w:pPr>
              <w:jc w:val="both"/>
            </w:pPr>
            <w:r w:rsidRPr="00EB023D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F17B92" w14:textId="76CAFAF0" w:rsidR="00336609" w:rsidRPr="00EB023D" w:rsidRDefault="000926B4" w:rsidP="007D106E">
            <w:pPr>
              <w:jc w:val="both"/>
            </w:pPr>
            <w:r w:rsidRPr="00EB023D">
              <w:t>0,13</w:t>
            </w:r>
          </w:p>
        </w:tc>
      </w:tr>
      <w:tr w:rsidR="00336609" w:rsidRPr="00EB023D" w14:paraId="45949E0F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7B775A" w14:textId="77777777" w:rsidR="00336609" w:rsidRPr="00EB023D" w:rsidRDefault="00336609" w:rsidP="007D106E">
            <w:pPr>
              <w:jc w:val="both"/>
            </w:pPr>
            <w:r w:rsidRPr="00EB023D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8159" w14:textId="77777777" w:rsidR="00336609" w:rsidRPr="00EB023D" w:rsidRDefault="00336609" w:rsidP="007D106E">
            <w:pPr>
              <w:jc w:val="both"/>
            </w:pPr>
            <w:r w:rsidRPr="00EB023D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D52261" w14:textId="32FF78CB" w:rsidR="00336609" w:rsidRPr="00EB023D" w:rsidRDefault="00572FC3" w:rsidP="007D106E">
            <w:pPr>
              <w:jc w:val="both"/>
            </w:pPr>
            <w:r w:rsidRPr="00EB023D">
              <w:t>-</w:t>
            </w:r>
          </w:p>
        </w:tc>
      </w:tr>
      <w:tr w:rsidR="00336609" w:rsidRPr="00EB023D" w14:paraId="59B0296F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806F7A" w14:textId="77777777" w:rsidR="00336609" w:rsidRPr="00EB023D" w:rsidRDefault="00336609" w:rsidP="007D106E">
            <w:pPr>
              <w:jc w:val="both"/>
            </w:pPr>
            <w:r w:rsidRPr="00EB023D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9DD8" w14:textId="77777777" w:rsidR="00336609" w:rsidRPr="00EB023D" w:rsidRDefault="00336609" w:rsidP="007D106E">
            <w:pPr>
              <w:jc w:val="both"/>
            </w:pPr>
            <w:r w:rsidRPr="00EB023D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51517E" w14:textId="77777777" w:rsidR="00336609" w:rsidRPr="00EB023D" w:rsidRDefault="00336609" w:rsidP="007D106E">
            <w:pPr>
              <w:jc w:val="both"/>
            </w:pPr>
            <w:r w:rsidRPr="00EB023D">
              <w:t>чистая прибыль отчетного периода</w:t>
            </w:r>
          </w:p>
        </w:tc>
      </w:tr>
      <w:tr w:rsidR="00336609" w:rsidRPr="00EB023D" w14:paraId="1C85E2EF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327F49" w14:textId="77777777" w:rsidR="00336609" w:rsidRPr="00EB023D" w:rsidRDefault="00336609" w:rsidP="007D106E">
            <w:pPr>
              <w:jc w:val="both"/>
            </w:pPr>
            <w:r w:rsidRPr="00EB023D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E5F0" w14:textId="77777777" w:rsidR="00336609" w:rsidRPr="00EB023D" w:rsidRDefault="00336609" w:rsidP="007D106E">
            <w:pPr>
              <w:jc w:val="both"/>
            </w:pPr>
            <w:r w:rsidRPr="00EB023D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0720E6" w14:textId="29E13B83" w:rsidR="00336609" w:rsidRPr="00EB023D" w:rsidRDefault="00336609" w:rsidP="00BC2AC8">
            <w:pPr>
              <w:jc w:val="both"/>
            </w:pPr>
            <w:r w:rsidRPr="00EB023D">
              <w:t>Общее собрание акционеров 30 июня 202</w:t>
            </w:r>
            <w:r w:rsidR="00BC2AC8" w:rsidRPr="00EB023D">
              <w:t>3</w:t>
            </w:r>
            <w:r w:rsidRPr="00EB023D">
              <w:t xml:space="preserve"> года, протокол №0</w:t>
            </w:r>
            <w:r w:rsidR="00BC2AC8" w:rsidRPr="00EB023D">
              <w:t>2</w:t>
            </w:r>
            <w:r w:rsidRPr="00EB023D">
              <w:t xml:space="preserve"> от 0</w:t>
            </w:r>
            <w:r w:rsidR="00BC2AC8" w:rsidRPr="00EB023D">
              <w:t>3</w:t>
            </w:r>
            <w:r w:rsidRPr="00EB023D">
              <w:t xml:space="preserve"> июля 202</w:t>
            </w:r>
            <w:r w:rsidR="00BC2AC8" w:rsidRPr="00EB023D">
              <w:t>3</w:t>
            </w:r>
            <w:r w:rsidRPr="00EB023D">
              <w:t xml:space="preserve"> года</w:t>
            </w:r>
          </w:p>
        </w:tc>
      </w:tr>
      <w:tr w:rsidR="00336609" w:rsidRPr="00EB023D" w14:paraId="25ABA6F1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5FBA52" w14:textId="77777777" w:rsidR="00336609" w:rsidRPr="00EB023D" w:rsidRDefault="00336609" w:rsidP="007D106E">
            <w:pPr>
              <w:jc w:val="both"/>
            </w:pPr>
            <w:r w:rsidRPr="00EB023D">
              <w:lastRenderedPageBreak/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D148" w14:textId="77777777" w:rsidR="00336609" w:rsidRPr="00EB023D" w:rsidRDefault="00336609" w:rsidP="007D106E">
            <w:pPr>
              <w:jc w:val="both"/>
            </w:pPr>
            <w:r w:rsidRPr="00EB023D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186370" w14:textId="4708B10C" w:rsidR="00336609" w:rsidRPr="00EB023D" w:rsidRDefault="00336609" w:rsidP="00BC2AC8">
            <w:pPr>
              <w:jc w:val="both"/>
            </w:pPr>
            <w:r w:rsidRPr="00EB023D">
              <w:t>11 июля 202</w:t>
            </w:r>
            <w:r w:rsidR="00BC2AC8" w:rsidRPr="00EB023D">
              <w:t>3</w:t>
            </w:r>
            <w:r w:rsidRPr="00EB023D">
              <w:t xml:space="preserve"> года</w:t>
            </w:r>
          </w:p>
        </w:tc>
      </w:tr>
      <w:tr w:rsidR="00336609" w:rsidRPr="00EB023D" w14:paraId="023B033E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302A91" w14:textId="77777777" w:rsidR="00336609" w:rsidRPr="00EB023D" w:rsidRDefault="00336609" w:rsidP="007D106E">
            <w:pPr>
              <w:jc w:val="both"/>
            </w:pPr>
            <w:r w:rsidRPr="00EB023D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CD4C" w14:textId="77777777" w:rsidR="00336609" w:rsidRPr="00EB023D" w:rsidRDefault="00336609" w:rsidP="007D106E">
            <w:pPr>
              <w:jc w:val="both"/>
            </w:pPr>
            <w:r w:rsidRPr="00EB023D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9D167A" w14:textId="68FEE049" w:rsidR="00BC2AC8" w:rsidRPr="00EB023D" w:rsidRDefault="00BC2AC8" w:rsidP="00BC2AC8">
            <w:pPr>
              <w:jc w:val="both"/>
            </w:pPr>
            <w:r w:rsidRPr="00EB023D">
              <w:t>- 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2023 года: не позднее 25 июля 2023 года включительно;</w:t>
            </w:r>
          </w:p>
          <w:p w14:paraId="2B088DF7" w14:textId="40743883" w:rsidR="00336609" w:rsidRPr="00EB023D" w:rsidRDefault="00BC2AC8" w:rsidP="00BC2AC8">
            <w:pPr>
              <w:jc w:val="both"/>
            </w:pPr>
            <w:r w:rsidRPr="00EB023D">
              <w:t>- другим лицам, зарегистрированным в реестре акционеров на 11 июля 2023 года: не позднее 15 августа 2023 года включительно</w:t>
            </w:r>
          </w:p>
        </w:tc>
      </w:tr>
      <w:tr w:rsidR="00336609" w:rsidRPr="00EB023D" w14:paraId="593FE4FD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F81214" w14:textId="77777777" w:rsidR="00336609" w:rsidRPr="00EB023D" w:rsidRDefault="00336609" w:rsidP="007D106E">
            <w:pPr>
              <w:jc w:val="both"/>
            </w:pPr>
            <w:r w:rsidRPr="00EB023D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57B8" w14:textId="77777777" w:rsidR="00336609" w:rsidRPr="00EB023D" w:rsidRDefault="00336609" w:rsidP="007D106E">
            <w:pPr>
              <w:jc w:val="both"/>
            </w:pPr>
            <w:r w:rsidRPr="00EB023D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63FF25" w14:textId="77777777" w:rsidR="00336609" w:rsidRPr="00EB023D" w:rsidRDefault="00336609" w:rsidP="007D106E">
            <w:pPr>
              <w:jc w:val="both"/>
            </w:pPr>
            <w:r w:rsidRPr="00EB023D">
              <w:t>отсутствуют.</w:t>
            </w:r>
          </w:p>
        </w:tc>
      </w:tr>
      <w:tr w:rsidR="00336609" w:rsidRPr="00EB023D" w14:paraId="3CD61582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40A0BF" w14:textId="77777777" w:rsidR="00336609" w:rsidRPr="00EB023D" w:rsidRDefault="00336609" w:rsidP="007D106E">
            <w:pPr>
              <w:jc w:val="both"/>
            </w:pPr>
            <w:r w:rsidRPr="00EB023D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6362E7" w14:textId="77777777" w:rsidR="00336609" w:rsidRPr="00EB023D" w:rsidRDefault="00336609" w:rsidP="007D106E">
            <w:pPr>
              <w:jc w:val="both"/>
            </w:pPr>
            <w:r w:rsidRPr="00EB023D">
              <w:t>II. Сведения о выплаченных дивидендах</w:t>
            </w:r>
          </w:p>
        </w:tc>
      </w:tr>
      <w:tr w:rsidR="00336609" w:rsidRPr="00EB023D" w14:paraId="7571DA85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03E1AF" w14:textId="77777777" w:rsidR="00336609" w:rsidRPr="00EB023D" w:rsidRDefault="00336609" w:rsidP="007D106E">
            <w:pPr>
              <w:jc w:val="both"/>
            </w:pPr>
            <w:r w:rsidRPr="00EB023D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DF06" w14:textId="77777777" w:rsidR="00336609" w:rsidRPr="00EB023D" w:rsidRDefault="00336609" w:rsidP="007D106E">
            <w:pPr>
              <w:jc w:val="both"/>
            </w:pPr>
            <w:r w:rsidRPr="00EB023D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79CB1C" w14:textId="4A00DC97" w:rsidR="00336609" w:rsidRPr="00EB023D" w:rsidRDefault="00BC2AC8" w:rsidP="0001390F">
            <w:pPr>
              <w:jc w:val="both"/>
            </w:pPr>
            <w:r w:rsidRPr="00EB023D">
              <w:t>29 861</w:t>
            </w:r>
            <w:r w:rsidR="0001390F" w:rsidRPr="00EB023D">
              <w:t> </w:t>
            </w:r>
            <w:r w:rsidRPr="00EB023D">
              <w:t>062</w:t>
            </w:r>
            <w:r w:rsidR="0001390F" w:rsidRPr="00EB023D">
              <w:t>,50</w:t>
            </w:r>
          </w:p>
        </w:tc>
      </w:tr>
      <w:tr w:rsidR="00336609" w:rsidRPr="00EB023D" w14:paraId="3F1DD06C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D908FE" w14:textId="77777777" w:rsidR="00336609" w:rsidRPr="00EB023D" w:rsidRDefault="00336609" w:rsidP="007D106E">
            <w:pPr>
              <w:jc w:val="both"/>
            </w:pPr>
            <w:r w:rsidRPr="00EB023D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C8AC" w14:textId="77777777" w:rsidR="00336609" w:rsidRPr="00EB023D" w:rsidRDefault="00336609" w:rsidP="007D106E">
            <w:pPr>
              <w:jc w:val="both"/>
            </w:pPr>
            <w:r w:rsidRPr="00EB023D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314481" w14:textId="6931E268" w:rsidR="00336609" w:rsidRPr="00EB023D" w:rsidRDefault="00BC2AC8" w:rsidP="007D106E">
            <w:pPr>
              <w:jc w:val="both"/>
            </w:pPr>
            <w:r w:rsidRPr="00EB023D">
              <w:t>99,87</w:t>
            </w:r>
          </w:p>
        </w:tc>
      </w:tr>
      <w:tr w:rsidR="00336609" w:rsidRPr="00EB023D" w14:paraId="6D26697D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D1849D" w14:textId="77777777" w:rsidR="00336609" w:rsidRPr="00EB023D" w:rsidRDefault="00336609" w:rsidP="007D106E">
            <w:pPr>
              <w:jc w:val="both"/>
            </w:pPr>
            <w:r w:rsidRPr="00EB023D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82E2" w14:textId="77777777" w:rsidR="00336609" w:rsidRPr="00EB023D" w:rsidRDefault="00336609" w:rsidP="007D106E">
            <w:pPr>
              <w:jc w:val="both"/>
            </w:pPr>
            <w:r w:rsidRPr="00EB023D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7ED7B8" w14:textId="17E67891" w:rsidR="00336609" w:rsidRPr="00EB023D" w:rsidRDefault="00BC2AC8" w:rsidP="007D106E">
            <w:pPr>
              <w:jc w:val="both"/>
            </w:pPr>
            <w:r w:rsidRPr="00EB023D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336609" w:rsidRPr="00EB023D" w14:paraId="54A155C4" w14:textId="77777777" w:rsidTr="007D106E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A9C15D" w14:textId="77777777" w:rsidR="00336609" w:rsidRPr="00EB023D" w:rsidRDefault="00336609" w:rsidP="007D106E">
            <w:pPr>
              <w:jc w:val="both"/>
            </w:pPr>
            <w:r w:rsidRPr="00EB023D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6C0ECA" w14:textId="77777777" w:rsidR="00336609" w:rsidRPr="00EB023D" w:rsidRDefault="00336609" w:rsidP="007D106E">
            <w:pPr>
              <w:jc w:val="both"/>
            </w:pPr>
            <w:r w:rsidRPr="00EB023D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80148E" w14:textId="77777777" w:rsidR="00336609" w:rsidRPr="00EB023D" w:rsidRDefault="00336609" w:rsidP="007D106E">
            <w:pPr>
              <w:jc w:val="both"/>
            </w:pPr>
            <w:r w:rsidRPr="00EB023D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15470587" w14:textId="77777777" w:rsidR="00F30CE9" w:rsidRPr="00EB023D" w:rsidRDefault="00F30CE9" w:rsidP="00F30CE9">
      <w:pPr>
        <w:ind w:left="200"/>
        <w:jc w:val="both"/>
        <w:rPr>
          <w:b/>
          <w:bCs/>
          <w:i/>
          <w:iCs/>
          <w:sz w:val="4"/>
          <w:szCs w:val="4"/>
        </w:rPr>
      </w:pPr>
    </w:p>
    <w:p w14:paraId="7FC53D05" w14:textId="77777777" w:rsidR="00AE6954" w:rsidRPr="00EB023D" w:rsidRDefault="00AE6954" w:rsidP="00F30CE9">
      <w:pPr>
        <w:ind w:left="200"/>
        <w:jc w:val="both"/>
        <w:rPr>
          <w:b/>
          <w:bCs/>
          <w:i/>
          <w:iCs/>
        </w:rPr>
      </w:pPr>
    </w:p>
    <w:p w14:paraId="4C4D460C" w14:textId="2552EF91" w:rsidR="003345E9" w:rsidRPr="00EB023D" w:rsidRDefault="003345E9" w:rsidP="00554B3C">
      <w:pPr>
        <w:pStyle w:val="2"/>
        <w:jc w:val="both"/>
      </w:pPr>
      <w:bookmarkStart w:id="54" w:name="_Toc164444127"/>
      <w:r w:rsidRPr="00EB023D">
        <w:t>4.5. Сведения об организациях, осуществляющих учет прав на эмиссионные ценные бумаги эмитента</w:t>
      </w:r>
      <w:r w:rsidR="008A05B1" w:rsidRPr="00EB023D">
        <w:rPr>
          <w:rStyle w:val="af7"/>
        </w:rPr>
        <w:footnoteReference w:id="10"/>
      </w:r>
      <w:bookmarkEnd w:id="54"/>
    </w:p>
    <w:p w14:paraId="4B852B0D" w14:textId="77777777" w:rsidR="003345E9" w:rsidRPr="00EB023D" w:rsidRDefault="003345E9" w:rsidP="00554B3C">
      <w:pPr>
        <w:pStyle w:val="2"/>
        <w:jc w:val="both"/>
      </w:pPr>
      <w:bookmarkStart w:id="55" w:name="_Toc164444128"/>
      <w:r w:rsidRPr="00EB023D">
        <w:t>4.5.1. Сведения о регистраторе, осуществляющем ведение реестра владельцев ценных бумаг эмитента</w:t>
      </w:r>
      <w:bookmarkEnd w:id="55"/>
    </w:p>
    <w:p w14:paraId="4ED172C1" w14:textId="77777777" w:rsidR="00D66519" w:rsidRPr="00EB023D" w:rsidRDefault="00D66519" w:rsidP="00D66519">
      <w:pPr>
        <w:ind w:left="200"/>
        <w:jc w:val="both"/>
      </w:pPr>
      <w:r w:rsidRPr="00EB023D">
        <w:t>Держателем реестра акционеров общества, осуществляющим учет прав на акции общества, является регистратор</w:t>
      </w:r>
    </w:p>
    <w:p w14:paraId="5EA78BFE" w14:textId="6888C09A" w:rsidR="00E26041" w:rsidRPr="00EB023D" w:rsidRDefault="00D66519" w:rsidP="00D66519">
      <w:pPr>
        <w:ind w:left="200"/>
        <w:jc w:val="both"/>
        <w:rPr>
          <w:b/>
          <w:bCs/>
          <w:i/>
          <w:iCs/>
        </w:rPr>
      </w:pPr>
      <w:r w:rsidRPr="00EB023D">
        <w:t>Полное фирменное наименование:</w:t>
      </w:r>
      <w:r w:rsidRPr="00EB023D">
        <w:rPr>
          <w:b/>
          <w:bCs/>
          <w:i/>
          <w:iCs/>
        </w:rPr>
        <w:t xml:space="preserve"> </w:t>
      </w:r>
      <w:r w:rsidR="00C41308" w:rsidRPr="00EB023D">
        <w:rPr>
          <w:b/>
          <w:bCs/>
          <w:i/>
          <w:iCs/>
        </w:rPr>
        <w:t>Акционерное общество «</w:t>
      </w:r>
      <w:r w:rsidR="00E26041" w:rsidRPr="00EB023D">
        <w:rPr>
          <w:b/>
          <w:bCs/>
          <w:i/>
          <w:iCs/>
        </w:rPr>
        <w:t xml:space="preserve">Независимая регистраторская </w:t>
      </w:r>
      <w:r w:rsidR="00E26041" w:rsidRPr="00EB023D">
        <w:rPr>
          <w:b/>
          <w:bCs/>
          <w:i/>
          <w:iCs/>
        </w:rPr>
        <w:lastRenderedPageBreak/>
        <w:t>компания Р.О.С.Т.</w:t>
      </w:r>
      <w:r w:rsidR="00C41308" w:rsidRPr="00EB023D">
        <w:rPr>
          <w:b/>
          <w:bCs/>
          <w:i/>
          <w:iCs/>
        </w:rPr>
        <w:t>»</w:t>
      </w:r>
      <w:r w:rsidR="004546DF" w:rsidRPr="00EB023D">
        <w:rPr>
          <w:b/>
          <w:bCs/>
          <w:i/>
          <w:iCs/>
        </w:rPr>
        <w:t>.</w:t>
      </w:r>
    </w:p>
    <w:p w14:paraId="7E0DF469" w14:textId="5AAE96A8" w:rsidR="00E26041" w:rsidRPr="00EB023D" w:rsidRDefault="00D66519" w:rsidP="00E26041">
      <w:pPr>
        <w:spacing w:after="20"/>
        <w:ind w:left="198"/>
        <w:jc w:val="both"/>
        <w:rPr>
          <w:b/>
          <w:bCs/>
          <w:i/>
          <w:iCs/>
        </w:rPr>
      </w:pPr>
      <w:r w:rsidRPr="00EB023D">
        <w:t>Сокращенное фирменное наименование:</w:t>
      </w:r>
      <w:r w:rsidRPr="00EB023D">
        <w:rPr>
          <w:b/>
          <w:bCs/>
          <w:i/>
          <w:iCs/>
        </w:rPr>
        <w:t xml:space="preserve"> </w:t>
      </w:r>
      <w:r w:rsidR="00E26041" w:rsidRPr="00EB023D">
        <w:rPr>
          <w:b/>
          <w:bCs/>
          <w:i/>
          <w:iCs/>
        </w:rPr>
        <w:t>АО «НРК - Р.О.С.Т.»</w:t>
      </w:r>
      <w:r w:rsidR="004546DF" w:rsidRPr="00EB023D">
        <w:rPr>
          <w:b/>
          <w:bCs/>
          <w:i/>
          <w:iCs/>
        </w:rPr>
        <w:t>.</w:t>
      </w:r>
    </w:p>
    <w:p w14:paraId="3EA8AD6F" w14:textId="5E8E353A" w:rsidR="00E26041" w:rsidRPr="00EB023D" w:rsidRDefault="00D66519" w:rsidP="00E26041">
      <w:pPr>
        <w:spacing w:after="20"/>
        <w:ind w:left="198"/>
        <w:jc w:val="both"/>
        <w:rPr>
          <w:b/>
          <w:bCs/>
          <w:i/>
          <w:iCs/>
        </w:rPr>
      </w:pPr>
      <w:r w:rsidRPr="00EB023D">
        <w:t>Место нахождения:</w:t>
      </w:r>
      <w:r w:rsidRPr="00EB023D">
        <w:rPr>
          <w:b/>
          <w:bCs/>
          <w:i/>
          <w:iCs/>
        </w:rPr>
        <w:t xml:space="preserve"> </w:t>
      </w:r>
      <w:r w:rsidR="00E26041" w:rsidRPr="00EB023D">
        <w:rPr>
          <w:b/>
          <w:bCs/>
          <w:i/>
          <w:iCs/>
        </w:rPr>
        <w:t>107076, г. Москва, ул. Стромынка, д. 18, корп. 5Б, пом. IX</w:t>
      </w:r>
      <w:r w:rsidR="004546DF" w:rsidRPr="00EB023D">
        <w:rPr>
          <w:b/>
          <w:bCs/>
          <w:i/>
          <w:iCs/>
        </w:rPr>
        <w:t>.</w:t>
      </w:r>
    </w:p>
    <w:p w14:paraId="3E426429" w14:textId="36FC0BD8" w:rsidR="00E26041" w:rsidRPr="00EB023D" w:rsidRDefault="00E26041" w:rsidP="00E26041">
      <w:pPr>
        <w:spacing w:after="20"/>
        <w:ind w:left="198"/>
        <w:jc w:val="both"/>
        <w:rPr>
          <w:b/>
          <w:i/>
        </w:rPr>
      </w:pPr>
      <w:r w:rsidRPr="00EB023D">
        <w:t xml:space="preserve">ИНН: </w:t>
      </w:r>
      <w:r w:rsidRPr="00EB023D">
        <w:rPr>
          <w:b/>
          <w:i/>
        </w:rPr>
        <w:t>7726030449</w:t>
      </w:r>
      <w:r w:rsidR="004546DF" w:rsidRPr="00EB023D">
        <w:rPr>
          <w:b/>
          <w:i/>
        </w:rPr>
        <w:t>.</w:t>
      </w:r>
    </w:p>
    <w:p w14:paraId="41B9F5EB" w14:textId="7389C424" w:rsidR="00E26041" w:rsidRPr="00EB023D" w:rsidRDefault="00E26041" w:rsidP="00E26041">
      <w:pPr>
        <w:spacing w:after="20"/>
        <w:ind w:left="198"/>
        <w:jc w:val="both"/>
        <w:rPr>
          <w:b/>
          <w:i/>
        </w:rPr>
      </w:pPr>
      <w:r w:rsidRPr="00EB023D">
        <w:t xml:space="preserve">ОГРН: </w:t>
      </w:r>
      <w:r w:rsidR="0092607A" w:rsidRPr="00EB023D">
        <w:rPr>
          <w:b/>
          <w:i/>
        </w:rPr>
        <w:t>1027739216757</w:t>
      </w:r>
      <w:r w:rsidR="004546DF" w:rsidRPr="00EB023D">
        <w:rPr>
          <w:b/>
          <w:i/>
        </w:rPr>
        <w:t>.</w:t>
      </w:r>
    </w:p>
    <w:p w14:paraId="4F439849" w14:textId="3451D089" w:rsidR="00D66519" w:rsidRPr="00EB023D" w:rsidRDefault="00D66519" w:rsidP="00E26041">
      <w:pPr>
        <w:spacing w:after="20"/>
        <w:ind w:left="198"/>
        <w:jc w:val="both"/>
      </w:pPr>
      <w:r w:rsidRPr="00EB023D">
        <w:t>Данные о лицензии на осуществление деятельности по ведению реестра владельцев ценных бумаг</w:t>
      </w:r>
    </w:p>
    <w:p w14:paraId="6F3608A6" w14:textId="0C473DF4" w:rsidR="00D66519" w:rsidRPr="00EB023D" w:rsidRDefault="00D66519" w:rsidP="00D66519">
      <w:pPr>
        <w:ind w:left="400"/>
        <w:jc w:val="both"/>
      </w:pPr>
      <w:r w:rsidRPr="00EB023D">
        <w:t>Номер:</w:t>
      </w:r>
      <w:r w:rsidRPr="00EB023D">
        <w:rPr>
          <w:b/>
          <w:bCs/>
          <w:i/>
          <w:iCs/>
        </w:rPr>
        <w:t xml:space="preserve"> </w:t>
      </w:r>
      <w:r w:rsidR="00E26041" w:rsidRPr="00EB023D">
        <w:rPr>
          <w:b/>
          <w:bCs/>
          <w:i/>
          <w:iCs/>
        </w:rPr>
        <w:t>045-13976-000001</w:t>
      </w:r>
      <w:r w:rsidR="004546DF" w:rsidRPr="00EB023D">
        <w:rPr>
          <w:b/>
          <w:bCs/>
          <w:i/>
          <w:iCs/>
        </w:rPr>
        <w:t>.</w:t>
      </w:r>
    </w:p>
    <w:p w14:paraId="06F6CA3C" w14:textId="5EA3C1BD" w:rsidR="00D66519" w:rsidRPr="00EB023D" w:rsidRDefault="00D66519" w:rsidP="00D66519">
      <w:pPr>
        <w:ind w:left="400"/>
        <w:jc w:val="both"/>
      </w:pPr>
      <w:r w:rsidRPr="00EB023D">
        <w:t>Дата выдачи:</w:t>
      </w:r>
      <w:r w:rsidRPr="00EB023D">
        <w:rPr>
          <w:b/>
          <w:bCs/>
          <w:i/>
          <w:iCs/>
        </w:rPr>
        <w:t xml:space="preserve"> </w:t>
      </w:r>
      <w:r w:rsidR="00E26041" w:rsidRPr="00EB023D">
        <w:rPr>
          <w:b/>
          <w:bCs/>
          <w:i/>
          <w:iCs/>
        </w:rPr>
        <w:t>03.12.2002</w:t>
      </w:r>
      <w:r w:rsidR="004546DF" w:rsidRPr="00EB023D">
        <w:rPr>
          <w:b/>
          <w:bCs/>
          <w:i/>
          <w:iCs/>
        </w:rPr>
        <w:t>.</w:t>
      </w:r>
    </w:p>
    <w:p w14:paraId="0AF7382D" w14:textId="41F7EF95" w:rsidR="00D66519" w:rsidRPr="00EB023D" w:rsidRDefault="00D66519" w:rsidP="00E26041">
      <w:pPr>
        <w:ind w:left="400"/>
        <w:jc w:val="both"/>
      </w:pPr>
      <w:r w:rsidRPr="00EB023D">
        <w:t>Срок действия:</w:t>
      </w:r>
      <w:r w:rsidR="00E26041" w:rsidRPr="00EB023D">
        <w:t xml:space="preserve"> </w:t>
      </w:r>
      <w:r w:rsidR="00E26041" w:rsidRPr="00EB023D">
        <w:rPr>
          <w:b/>
          <w:i/>
        </w:rPr>
        <w:t>б</w:t>
      </w:r>
      <w:r w:rsidRPr="00EB023D">
        <w:rPr>
          <w:b/>
          <w:bCs/>
          <w:i/>
          <w:iCs/>
        </w:rPr>
        <w:t>ессрочная</w:t>
      </w:r>
      <w:r w:rsidR="004546DF" w:rsidRPr="00EB023D">
        <w:rPr>
          <w:b/>
          <w:bCs/>
          <w:i/>
          <w:iCs/>
        </w:rPr>
        <w:t>.</w:t>
      </w:r>
    </w:p>
    <w:p w14:paraId="4932BE95" w14:textId="5809EF15" w:rsidR="00D66519" w:rsidRPr="00EB023D" w:rsidRDefault="00D66519" w:rsidP="00D66519">
      <w:pPr>
        <w:ind w:left="400"/>
        <w:jc w:val="both"/>
      </w:pPr>
      <w:r w:rsidRPr="00EB023D">
        <w:t>Наименование органа, выдавшего лицензию:</w:t>
      </w:r>
      <w:r w:rsidRPr="00EB023D">
        <w:rPr>
          <w:b/>
          <w:bCs/>
          <w:i/>
          <w:iCs/>
        </w:rPr>
        <w:t xml:space="preserve"> </w:t>
      </w:r>
      <w:r w:rsidR="00E26041" w:rsidRPr="00EB023D">
        <w:rPr>
          <w:b/>
          <w:bCs/>
          <w:i/>
          <w:iCs/>
        </w:rPr>
        <w:t>ФКЦБ России</w:t>
      </w:r>
      <w:r w:rsidR="004546DF" w:rsidRPr="00EB023D">
        <w:rPr>
          <w:b/>
          <w:bCs/>
          <w:i/>
          <w:iCs/>
        </w:rPr>
        <w:t>.</w:t>
      </w:r>
    </w:p>
    <w:p w14:paraId="3AC648B9" w14:textId="3262D8E0" w:rsidR="00D66519" w:rsidRPr="00EB023D" w:rsidRDefault="00D66519" w:rsidP="00D66519">
      <w:pPr>
        <w:ind w:left="200"/>
        <w:jc w:val="both"/>
      </w:pPr>
      <w:r w:rsidRPr="00EB023D">
        <w:t>Дата, с которой регистратор осуществляет ведение реестра владельцев ценных бумаг эмитента:</w:t>
      </w:r>
      <w:r w:rsidRPr="00EB023D">
        <w:rPr>
          <w:b/>
          <w:bCs/>
          <w:i/>
          <w:iCs/>
        </w:rPr>
        <w:t xml:space="preserve"> </w:t>
      </w:r>
      <w:r w:rsidR="00E26041" w:rsidRPr="00EB023D">
        <w:rPr>
          <w:b/>
          <w:bCs/>
          <w:i/>
          <w:iCs/>
        </w:rPr>
        <w:t>07.06.2023</w:t>
      </w:r>
      <w:r w:rsidR="004546DF" w:rsidRPr="00EB023D">
        <w:rPr>
          <w:b/>
          <w:bCs/>
          <w:i/>
          <w:iCs/>
        </w:rPr>
        <w:t>.</w:t>
      </w:r>
    </w:p>
    <w:p w14:paraId="400A064E" w14:textId="0C0C8E3B" w:rsidR="007B0FA3" w:rsidRPr="00EB023D" w:rsidRDefault="00D66519" w:rsidP="007B0FA3">
      <w:pPr>
        <w:ind w:left="200"/>
        <w:jc w:val="both"/>
      </w:pPr>
      <w:r w:rsidRPr="00EB023D">
        <w:t>Иные сведения о ведении реестра владельцев ценных бумаг эмитента, указываемые эмитентом по собственному усмотрению:</w:t>
      </w:r>
      <w:r w:rsidRPr="00EB023D">
        <w:rPr>
          <w:b/>
          <w:bCs/>
          <w:i/>
          <w:iCs/>
        </w:rPr>
        <w:t xml:space="preserve"> </w:t>
      </w:r>
      <w:r w:rsidR="00E26041" w:rsidRPr="00EB023D">
        <w:rPr>
          <w:b/>
          <w:bCs/>
          <w:i/>
          <w:iCs/>
        </w:rPr>
        <w:t>о</w:t>
      </w:r>
      <w:r w:rsidR="004602C3" w:rsidRPr="00EB023D">
        <w:rPr>
          <w:b/>
          <w:bCs/>
          <w:i/>
          <w:iCs/>
        </w:rPr>
        <w:t xml:space="preserve">фициальный сайт регистратора: </w:t>
      </w:r>
      <w:hyperlink r:id="rId20" w:history="1">
        <w:r w:rsidR="004546DF" w:rsidRPr="00EB023D">
          <w:rPr>
            <w:rStyle w:val="aa"/>
            <w:b/>
            <w:bCs/>
            <w:i/>
            <w:iCs/>
            <w:color w:val="auto"/>
          </w:rPr>
          <w:t>https://rrost.ru/</w:t>
        </w:r>
      </w:hyperlink>
      <w:r w:rsidR="004546DF" w:rsidRPr="00EB023D">
        <w:rPr>
          <w:b/>
          <w:bCs/>
          <w:i/>
          <w:iCs/>
        </w:rPr>
        <w:t xml:space="preserve"> </w:t>
      </w:r>
    </w:p>
    <w:p w14:paraId="763A96AE" w14:textId="3AE7572F" w:rsidR="003345E9" w:rsidRPr="00EB023D" w:rsidRDefault="003345E9" w:rsidP="00554B3C">
      <w:pPr>
        <w:pStyle w:val="2"/>
        <w:jc w:val="both"/>
      </w:pPr>
      <w:bookmarkStart w:id="56" w:name="_Toc164444129"/>
      <w:r w:rsidRPr="00EB023D">
        <w:t>4.5.2. Сведения о депозитарии, осуществляющем централизованный учет прав на ценные бумаги эмитента</w:t>
      </w:r>
      <w:r w:rsidR="008F711C" w:rsidRPr="00EB023D">
        <w:rPr>
          <w:rStyle w:val="af7"/>
        </w:rPr>
        <w:footnoteReference w:id="11"/>
      </w:r>
      <w:bookmarkEnd w:id="56"/>
    </w:p>
    <w:p w14:paraId="42321499" w14:textId="77777777" w:rsidR="00653F1E" w:rsidRPr="00EB023D" w:rsidRDefault="00653F1E" w:rsidP="00653F1E">
      <w:pPr>
        <w:widowControl/>
        <w:autoSpaceDE/>
        <w:autoSpaceDN/>
        <w:adjustRightInd/>
        <w:spacing w:before="0" w:after="0"/>
        <w:jc w:val="both"/>
        <w:rPr>
          <w:lang w:eastAsia="en-US"/>
        </w:rPr>
      </w:pPr>
      <w:r w:rsidRPr="00EB023D">
        <w:rPr>
          <w:lang w:eastAsia="en-US"/>
        </w:rPr>
        <w:t xml:space="preserve">В случае если в обращении находятся ценные бумаги эмитента с централизованным учетом прав, указывается на это обстоятельство, а также указываются следующие сведения о каждом из депозитариев, осуществляющих централизованный учет прав на ценные бумаги эмитента: </w:t>
      </w:r>
    </w:p>
    <w:p w14:paraId="164D1923" w14:textId="3D8C1E3C" w:rsidR="005B3751" w:rsidRPr="00EB023D" w:rsidRDefault="00653F1E" w:rsidP="00653F1E">
      <w:pPr>
        <w:widowControl/>
        <w:autoSpaceDE/>
        <w:autoSpaceDN/>
        <w:adjustRightInd/>
        <w:spacing w:before="0" w:after="0"/>
        <w:jc w:val="both"/>
        <w:rPr>
          <w:rFonts w:eastAsia="MS Mincho"/>
          <w:b/>
          <w:bCs/>
          <w:i/>
          <w:iCs/>
        </w:rPr>
      </w:pPr>
      <w:r w:rsidRPr="00EB023D">
        <w:rPr>
          <w:rFonts w:eastAsia="MS Mincho"/>
          <w:b/>
          <w:bCs/>
          <w:i/>
          <w:iCs/>
        </w:rPr>
        <w:t>В обращении находятся документарные ценные бумаги Эмитента с обязатель</w:t>
      </w:r>
      <w:r w:rsidR="009E57A6" w:rsidRPr="00EB023D">
        <w:rPr>
          <w:rFonts w:eastAsia="MS Mincho"/>
          <w:b/>
          <w:bCs/>
          <w:i/>
          <w:iCs/>
        </w:rPr>
        <w:t>ным централизованным хранением</w:t>
      </w:r>
      <w:r w:rsidR="004546DF" w:rsidRPr="00EB023D">
        <w:rPr>
          <w:rFonts w:eastAsia="MS Mincho"/>
          <w:b/>
          <w:bCs/>
          <w:i/>
          <w:iCs/>
        </w:rPr>
        <w:t>.</w:t>
      </w:r>
    </w:p>
    <w:p w14:paraId="26CA083E" w14:textId="2FF37FDA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Полное фирменное наименование: </w:t>
      </w:r>
      <w:r w:rsidRPr="00EB023D">
        <w:rPr>
          <w:b/>
          <w:bCs/>
          <w:i/>
          <w:iCs/>
          <w:lang w:eastAsia="en-US"/>
        </w:rPr>
        <w:t>Небанковская кредитная организация акционерное общество «Национальный расчетный депозитарий»</w:t>
      </w:r>
      <w:r w:rsidR="004546DF" w:rsidRPr="00EB023D">
        <w:rPr>
          <w:b/>
          <w:bCs/>
          <w:i/>
          <w:iCs/>
          <w:lang w:eastAsia="en-US"/>
        </w:rPr>
        <w:t>.</w:t>
      </w:r>
    </w:p>
    <w:p w14:paraId="2FAAF2AA" w14:textId="09B5BB77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Сокращенное фирменное наименование: </w:t>
      </w:r>
      <w:r w:rsidRPr="00EB023D">
        <w:rPr>
          <w:b/>
          <w:bCs/>
          <w:i/>
          <w:iCs/>
          <w:lang w:eastAsia="en-US"/>
        </w:rPr>
        <w:t>НКО АО НРД</w:t>
      </w:r>
      <w:r w:rsidR="004546DF" w:rsidRPr="00EB023D">
        <w:rPr>
          <w:b/>
          <w:bCs/>
          <w:i/>
          <w:iCs/>
          <w:lang w:eastAsia="en-US"/>
        </w:rPr>
        <w:t>.</w:t>
      </w:r>
    </w:p>
    <w:p w14:paraId="4C2C29D1" w14:textId="665231D8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Место нахождения: </w:t>
      </w:r>
      <w:r w:rsidRPr="00EB023D">
        <w:rPr>
          <w:b/>
          <w:bCs/>
          <w:i/>
          <w:iCs/>
          <w:lang w:eastAsia="en-US"/>
        </w:rPr>
        <w:t>город Москва, улица Спартаковская, дом 12</w:t>
      </w:r>
      <w:r w:rsidR="004546DF" w:rsidRPr="00EB023D">
        <w:rPr>
          <w:b/>
          <w:bCs/>
          <w:i/>
          <w:iCs/>
          <w:lang w:eastAsia="en-US"/>
        </w:rPr>
        <w:t>.</w:t>
      </w:r>
    </w:p>
    <w:p w14:paraId="554D0A65" w14:textId="27B00E9C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Почтовый адрес: </w:t>
      </w:r>
      <w:r w:rsidRPr="00EB023D">
        <w:rPr>
          <w:b/>
          <w:bCs/>
          <w:i/>
          <w:iCs/>
          <w:lang w:eastAsia="en-US"/>
        </w:rPr>
        <w:t>105066, г. Москва, ул. Спартаковская, дом 12</w:t>
      </w:r>
      <w:r w:rsidR="004546DF" w:rsidRPr="00EB023D">
        <w:rPr>
          <w:b/>
          <w:bCs/>
          <w:i/>
          <w:iCs/>
          <w:lang w:eastAsia="en-US"/>
        </w:rPr>
        <w:t>.</w:t>
      </w:r>
    </w:p>
    <w:p w14:paraId="0794ABDF" w14:textId="559B2AE6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ИНН: </w:t>
      </w:r>
      <w:r w:rsidRPr="00EB023D">
        <w:rPr>
          <w:rFonts w:eastAsia="Times New Roman"/>
          <w:b/>
          <w:bCs/>
          <w:i/>
          <w:iCs/>
          <w:lang w:eastAsia="en-US"/>
        </w:rPr>
        <w:t>7702165310</w:t>
      </w:r>
      <w:r w:rsidR="004546DF" w:rsidRPr="00EB023D">
        <w:rPr>
          <w:rFonts w:eastAsia="Times New Roman"/>
          <w:b/>
          <w:bCs/>
          <w:i/>
          <w:iCs/>
          <w:lang w:eastAsia="en-US"/>
        </w:rPr>
        <w:t>.</w:t>
      </w:r>
    </w:p>
    <w:p w14:paraId="6D92420E" w14:textId="0DE943D4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ОГРН: </w:t>
      </w:r>
      <w:r w:rsidRPr="00EB023D">
        <w:rPr>
          <w:rFonts w:eastAsia="Times New Roman"/>
          <w:b/>
          <w:bCs/>
          <w:i/>
          <w:iCs/>
          <w:lang w:eastAsia="en-US"/>
        </w:rPr>
        <w:t>1027739132563</w:t>
      </w:r>
      <w:r w:rsidR="004546DF" w:rsidRPr="00EB023D">
        <w:rPr>
          <w:rFonts w:eastAsia="Times New Roman"/>
          <w:b/>
          <w:bCs/>
          <w:i/>
          <w:iCs/>
          <w:lang w:eastAsia="en-US"/>
        </w:rPr>
        <w:t>.</w:t>
      </w:r>
    </w:p>
    <w:p w14:paraId="6D16586C" w14:textId="6C6E20C6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Номер лицензии на осуществление депозитарной деятельности: </w:t>
      </w:r>
      <w:r w:rsidR="00E62300" w:rsidRPr="00EB023D">
        <w:rPr>
          <w:rFonts w:eastAsia="Times New Roman"/>
          <w:b/>
          <w:bCs/>
          <w:i/>
          <w:iCs/>
          <w:lang w:eastAsia="en-US"/>
        </w:rPr>
        <w:t>045</w:t>
      </w:r>
      <w:r w:rsidRPr="00EB023D">
        <w:rPr>
          <w:rFonts w:eastAsia="Times New Roman"/>
          <w:b/>
          <w:bCs/>
          <w:i/>
          <w:iCs/>
          <w:lang w:eastAsia="en-US"/>
        </w:rPr>
        <w:t>-12042-000100</w:t>
      </w:r>
      <w:r w:rsidR="004546DF" w:rsidRPr="00EB023D">
        <w:rPr>
          <w:rFonts w:eastAsia="Times New Roman"/>
          <w:b/>
          <w:bCs/>
          <w:i/>
          <w:iCs/>
          <w:lang w:eastAsia="en-US"/>
        </w:rPr>
        <w:t>.</w:t>
      </w:r>
    </w:p>
    <w:p w14:paraId="0D4B1349" w14:textId="27FC2D1B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Дата выдачи: </w:t>
      </w:r>
      <w:r w:rsidRPr="00EB023D">
        <w:rPr>
          <w:rFonts w:eastAsia="Times New Roman"/>
          <w:b/>
          <w:bCs/>
          <w:i/>
          <w:iCs/>
          <w:lang w:eastAsia="en-US"/>
        </w:rPr>
        <w:t>19.02.2009</w:t>
      </w:r>
      <w:r w:rsidR="004546DF" w:rsidRPr="00EB023D">
        <w:rPr>
          <w:rFonts w:eastAsia="Times New Roman"/>
          <w:b/>
          <w:bCs/>
          <w:i/>
          <w:iCs/>
          <w:lang w:eastAsia="en-US"/>
        </w:rPr>
        <w:t>.</w:t>
      </w:r>
    </w:p>
    <w:p w14:paraId="142F884D" w14:textId="164FFD20" w:rsidR="00653F1E" w:rsidRPr="00EB023D" w:rsidRDefault="00653F1E" w:rsidP="00653F1E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Срок действия: </w:t>
      </w:r>
      <w:r w:rsidRPr="00EB023D">
        <w:rPr>
          <w:b/>
          <w:bCs/>
          <w:i/>
          <w:iCs/>
          <w:lang w:eastAsia="en-US"/>
        </w:rPr>
        <w:t>без ограничения срока действия</w:t>
      </w:r>
      <w:r w:rsidR="004546DF" w:rsidRPr="00EB023D">
        <w:rPr>
          <w:b/>
          <w:bCs/>
          <w:i/>
          <w:iCs/>
          <w:lang w:eastAsia="en-US"/>
        </w:rPr>
        <w:t>.</w:t>
      </w:r>
    </w:p>
    <w:p w14:paraId="04898AEA" w14:textId="77777777" w:rsidR="00690722" w:rsidRDefault="00653F1E" w:rsidP="00B40AC7">
      <w:pPr>
        <w:spacing w:before="0" w:after="0"/>
        <w:jc w:val="both"/>
        <w:rPr>
          <w:rFonts w:eastAsia="Times New Roman"/>
          <w:lang w:eastAsia="en-US"/>
        </w:rPr>
      </w:pPr>
      <w:r w:rsidRPr="00EB023D">
        <w:rPr>
          <w:lang w:eastAsia="en-US"/>
        </w:rPr>
        <w:t xml:space="preserve">Лицензирующий орган: </w:t>
      </w:r>
      <w:r w:rsidR="009463C7" w:rsidRPr="00EB023D">
        <w:rPr>
          <w:b/>
          <w:bCs/>
          <w:i/>
          <w:iCs/>
          <w:lang w:eastAsia="en-US"/>
        </w:rPr>
        <w:t>ФСФР России</w:t>
      </w:r>
      <w:r w:rsidR="004546DF" w:rsidRPr="00EB023D">
        <w:rPr>
          <w:b/>
          <w:bCs/>
          <w:i/>
          <w:iCs/>
          <w:lang w:eastAsia="en-US"/>
        </w:rPr>
        <w:t>.</w:t>
      </w:r>
      <w:r w:rsidR="00B40AC7" w:rsidRPr="00EB023D">
        <w:rPr>
          <w:rFonts w:eastAsia="Times New Roman"/>
          <w:lang w:eastAsia="en-US"/>
        </w:rPr>
        <w:t xml:space="preserve"> </w:t>
      </w:r>
    </w:p>
    <w:p w14:paraId="2924ABD4" w14:textId="77777777" w:rsidR="00690722" w:rsidRDefault="00690722" w:rsidP="00B40AC7">
      <w:pPr>
        <w:spacing w:before="0" w:after="0"/>
        <w:jc w:val="both"/>
        <w:rPr>
          <w:rFonts w:eastAsia="Times New Roman"/>
          <w:lang w:eastAsia="en-US"/>
        </w:rPr>
      </w:pPr>
    </w:p>
    <w:p w14:paraId="090F79F1" w14:textId="505572C4" w:rsidR="00690722" w:rsidRPr="00690722" w:rsidRDefault="00690722" w:rsidP="00690722">
      <w:pPr>
        <w:pStyle w:val="2"/>
        <w:jc w:val="both"/>
      </w:pPr>
      <w:bookmarkStart w:id="57" w:name="_Toc163207869"/>
      <w:bookmarkStart w:id="58" w:name="_Toc164444130"/>
      <w:r w:rsidRPr="00690722">
        <w:t>4.6. Информация об аудиторе эмитента</w:t>
      </w:r>
      <w:bookmarkEnd w:id="57"/>
      <w:r w:rsidR="00A70175">
        <w:rPr>
          <w:rStyle w:val="af7"/>
        </w:rPr>
        <w:footnoteReference w:id="12"/>
      </w:r>
      <w:bookmarkEnd w:id="58"/>
    </w:p>
    <w:p w14:paraId="4C8EB2BD" w14:textId="30980084" w:rsidR="00B40AC7" w:rsidRPr="00690722" w:rsidRDefault="00B40AC7" w:rsidP="00B40AC7">
      <w:pPr>
        <w:spacing w:before="0" w:after="0"/>
        <w:jc w:val="both"/>
        <w:rPr>
          <w:bCs/>
          <w:iCs/>
        </w:rPr>
      </w:pPr>
      <w:r w:rsidRPr="00690722">
        <w:rPr>
          <w:bCs/>
          <w:iCs/>
        </w:rPr>
        <w:t>Указывается информация в отношении аудитора (аудиторской организации, индивидуального аудитора) эмитента, который проводил проверку информации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14:paraId="196BE916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Полное фирменное наименование: Акционерное общество «Технологии Доверия - Аудит»</w:t>
      </w:r>
    </w:p>
    <w:p w14:paraId="5BD99E19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Сокращенное фирменное наименование: АО «Технологии Доверия - Аудит»</w:t>
      </w:r>
    </w:p>
    <w:p w14:paraId="46930C42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Место нахождения: 117218, Россия, г. Москва, </w:t>
      </w:r>
      <w:proofErr w:type="spellStart"/>
      <w:r w:rsidRPr="00EB023D">
        <w:rPr>
          <w:b/>
          <w:bCs/>
          <w:i/>
          <w:iCs/>
        </w:rPr>
        <w:t>вн</w:t>
      </w:r>
      <w:proofErr w:type="spellEnd"/>
      <w:r w:rsidRPr="00EB023D">
        <w:rPr>
          <w:b/>
          <w:bCs/>
          <w:i/>
          <w:iCs/>
        </w:rPr>
        <w:t>. тер. г. муниципальный округ Академический, ул. Кржижановского, д. 14, к. 3, помещение 5/1.</w:t>
      </w:r>
    </w:p>
    <w:p w14:paraId="124A1E64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ИНН: 7705051102</w:t>
      </w:r>
    </w:p>
    <w:p w14:paraId="407C90B6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ОГРН: 1027700148431</w:t>
      </w:r>
    </w:p>
    <w:p w14:paraId="05C85A4E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Телефон: +7 (495) 967-6000</w:t>
      </w:r>
    </w:p>
    <w:p w14:paraId="723D210C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Факс: +7 (495) 967-6001</w:t>
      </w:r>
    </w:p>
    <w:p w14:paraId="2E29CAD6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Данные о членстве аудитора в саморегулируемых организациях аудиторов</w:t>
      </w:r>
    </w:p>
    <w:p w14:paraId="145748CA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lastRenderedPageBreak/>
        <w:t xml:space="preserve">Полное наименование: Саморегулируемая организация аудиторов Ассоциация «Содружество» </w:t>
      </w:r>
      <w:r w:rsidRPr="00EB023D">
        <w:rPr>
          <w:b/>
          <w:bCs/>
          <w:i/>
          <w:iCs/>
        </w:rPr>
        <w:br/>
        <w:t xml:space="preserve">(СРО ААС). </w:t>
      </w:r>
    </w:p>
    <w:p w14:paraId="73902713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Место нахождения: 119192, г. Москва, Мичуринский пр-т, дом 21, корпус 4.</w:t>
      </w:r>
    </w:p>
    <w:p w14:paraId="7C37FEDB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Дополнительная информация: регистрационный номер записи (ОРНЗ) в реестре аудиторов и аудиторских организаций 12006020338</w:t>
      </w:r>
    </w:p>
    <w:p w14:paraId="0B391A9D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28BEA0AD" w14:textId="77777777" w:rsidR="00B40AC7" w:rsidRPr="00690722" w:rsidRDefault="00B40AC7" w:rsidP="00B40AC7">
      <w:pPr>
        <w:spacing w:before="0" w:after="0"/>
        <w:jc w:val="both"/>
        <w:rPr>
          <w:bCs/>
          <w:iCs/>
        </w:rPr>
      </w:pPr>
      <w:r w:rsidRPr="00690722">
        <w:rPr>
          <w:bCs/>
          <w:iCs/>
        </w:rPr>
        <w:t xml:space="preserve"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эмитента: </w:t>
      </w:r>
    </w:p>
    <w:p w14:paraId="3426C3B2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tbl>
      <w:tblPr>
        <w:tblW w:w="4964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50"/>
        <w:gridCol w:w="4746"/>
      </w:tblGrid>
      <w:tr w:rsidR="00B40AC7" w:rsidRPr="00EB023D" w14:paraId="1E02EE59" w14:textId="77777777" w:rsidTr="00AA5044">
        <w:tc>
          <w:tcPr>
            <w:tcW w:w="2362" w:type="pct"/>
          </w:tcPr>
          <w:p w14:paraId="4E2E5C01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Бухгалтерская (финансовая) отчётность, год</w:t>
            </w:r>
          </w:p>
        </w:tc>
        <w:tc>
          <w:tcPr>
            <w:tcW w:w="2638" w:type="pct"/>
          </w:tcPr>
          <w:p w14:paraId="638C721F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Консолидированная финансовая отчётность, год</w:t>
            </w:r>
          </w:p>
        </w:tc>
      </w:tr>
      <w:tr w:rsidR="00B40AC7" w:rsidRPr="00EB023D" w14:paraId="71A40760" w14:textId="77777777" w:rsidTr="00AA5044">
        <w:tc>
          <w:tcPr>
            <w:tcW w:w="2362" w:type="pct"/>
          </w:tcPr>
          <w:p w14:paraId="717E9310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2020</w:t>
            </w:r>
          </w:p>
        </w:tc>
        <w:tc>
          <w:tcPr>
            <w:tcW w:w="2638" w:type="pct"/>
          </w:tcPr>
          <w:p w14:paraId="1FDCB8A3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2020</w:t>
            </w:r>
          </w:p>
        </w:tc>
      </w:tr>
      <w:tr w:rsidR="00B40AC7" w:rsidRPr="00EB023D" w14:paraId="7501868A" w14:textId="77777777" w:rsidTr="00AA5044">
        <w:tc>
          <w:tcPr>
            <w:tcW w:w="2362" w:type="pct"/>
          </w:tcPr>
          <w:p w14:paraId="3CBBD6A0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  <w:lang w:val="en-US"/>
              </w:rPr>
            </w:pPr>
            <w:r w:rsidRPr="00EB023D">
              <w:rPr>
                <w:b/>
                <w:bCs/>
                <w:i/>
                <w:iCs/>
                <w:lang w:val="en-US"/>
              </w:rPr>
              <w:t>2021</w:t>
            </w:r>
          </w:p>
        </w:tc>
        <w:tc>
          <w:tcPr>
            <w:tcW w:w="2638" w:type="pct"/>
          </w:tcPr>
          <w:p w14:paraId="0D258F92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  <w:lang w:val="en-US"/>
              </w:rPr>
            </w:pPr>
            <w:r w:rsidRPr="00EB023D">
              <w:rPr>
                <w:b/>
                <w:bCs/>
                <w:i/>
                <w:iCs/>
                <w:lang w:val="en-US"/>
              </w:rPr>
              <w:t>2021</w:t>
            </w:r>
          </w:p>
        </w:tc>
      </w:tr>
      <w:tr w:rsidR="00B40AC7" w:rsidRPr="00EB023D" w14:paraId="0802CE6B" w14:textId="77777777" w:rsidTr="00AA5044">
        <w:tc>
          <w:tcPr>
            <w:tcW w:w="2362" w:type="pct"/>
          </w:tcPr>
          <w:p w14:paraId="5693464E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2022</w:t>
            </w:r>
          </w:p>
        </w:tc>
        <w:tc>
          <w:tcPr>
            <w:tcW w:w="2638" w:type="pct"/>
          </w:tcPr>
          <w:p w14:paraId="6AFD0702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2022</w:t>
            </w:r>
          </w:p>
        </w:tc>
      </w:tr>
      <w:tr w:rsidR="00B40AC7" w:rsidRPr="00EB023D" w14:paraId="353B99A6" w14:textId="77777777" w:rsidTr="00AA5044">
        <w:tc>
          <w:tcPr>
            <w:tcW w:w="2362" w:type="pct"/>
          </w:tcPr>
          <w:p w14:paraId="6EB5878E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2023</w:t>
            </w:r>
          </w:p>
        </w:tc>
        <w:tc>
          <w:tcPr>
            <w:tcW w:w="2638" w:type="pct"/>
          </w:tcPr>
          <w:p w14:paraId="451E44A0" w14:textId="77777777" w:rsidR="00B40AC7" w:rsidRPr="00EB023D" w:rsidRDefault="00B40AC7" w:rsidP="00B40AC7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EB023D">
              <w:rPr>
                <w:b/>
                <w:bCs/>
                <w:i/>
                <w:iCs/>
              </w:rPr>
              <w:t>2023</w:t>
            </w:r>
          </w:p>
        </w:tc>
      </w:tr>
    </w:tbl>
    <w:p w14:paraId="4A8241E2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02264702" w14:textId="77777777" w:rsidR="00B40AC7" w:rsidRPr="00811765" w:rsidRDefault="00B40AC7" w:rsidP="00B40AC7">
      <w:pPr>
        <w:spacing w:before="0" w:after="0"/>
        <w:jc w:val="both"/>
        <w:rPr>
          <w:bCs/>
          <w:iCs/>
        </w:rPr>
      </w:pPr>
      <w:r w:rsidRPr="00811765">
        <w:rPr>
          <w:bCs/>
          <w:iCs/>
        </w:rPr>
        <w:t xml:space="preserve"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отчетность): </w:t>
      </w:r>
    </w:p>
    <w:p w14:paraId="117ECB48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бухгалтерская отчетность, подготовленная исходя из законодательства Российской Федерации в части подготовки бухгалтерской отчетности;</w:t>
      </w:r>
    </w:p>
    <w:p w14:paraId="48493B6F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консолидированная финансовая отчётность, подготовленная в соответствии с Международными стандартами финансовой отчетности (МСФО).</w:t>
      </w:r>
    </w:p>
    <w:p w14:paraId="2F029C1E" w14:textId="5C561446" w:rsidR="00B40AC7" w:rsidRPr="00EB023D" w:rsidRDefault="008F711C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раскрываемая консолидированная финансовая отчетность в соответствии с частью 8 статьи 7 Федерального закона от 27 июля 2010 г. № 208-ФЗ «О консолидированной финансовой отчетности» и постановлений Правительства Российской Федерации от 13 сентября 2023 г. № 1490 «Об особенностях раскрытия консолидированной финансовой отчетности» и от 4 июля 2023 г.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а также постановления Правительства Российской Федерации от 18 марта 2022 г. № 395 «Об особенностях доступа к информации, содержащейся в государственном информационном ресурсе бухгалтерской (финансовой) отчетности, и раскрытия консолидированной финансовой отчетности» по состоянию на и за год, закончившийся 31 декабря 2023 г.</w:t>
      </w:r>
    </w:p>
    <w:p w14:paraId="122BF3F5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3B3AB54D" w14:textId="77777777" w:rsidR="00B40AC7" w:rsidRPr="00811765" w:rsidRDefault="00B40AC7" w:rsidP="00B40AC7">
      <w:pPr>
        <w:spacing w:before="0" w:after="0"/>
        <w:jc w:val="both"/>
        <w:rPr>
          <w:bCs/>
          <w:iCs/>
        </w:rPr>
      </w:pPr>
      <w:r w:rsidRPr="00811765">
        <w:rPr>
          <w:bCs/>
          <w:iCs/>
        </w:rPr>
        <w:t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</w:p>
    <w:p w14:paraId="564A26C2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75BDCDDE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Обзорные проверки консолидированной промежуточной сокращенной финансовой информации: </w:t>
      </w:r>
    </w:p>
    <w:p w14:paraId="0D8FC559" w14:textId="4FB6A349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за 6 месяцев, закончивши</w:t>
      </w:r>
      <w:r w:rsidR="001B799F">
        <w:rPr>
          <w:b/>
          <w:bCs/>
          <w:i/>
          <w:iCs/>
        </w:rPr>
        <w:t>хся</w:t>
      </w:r>
      <w:r w:rsidRPr="00EB023D">
        <w:rPr>
          <w:b/>
          <w:bCs/>
          <w:i/>
          <w:iCs/>
        </w:rPr>
        <w:t xml:space="preserve"> 30 июня 2020 г.;</w:t>
      </w:r>
    </w:p>
    <w:p w14:paraId="5F929902" w14:textId="02F3F518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за 6 месяцев, закончивши</w:t>
      </w:r>
      <w:r w:rsidR="001B799F">
        <w:rPr>
          <w:b/>
          <w:bCs/>
          <w:i/>
          <w:iCs/>
        </w:rPr>
        <w:t>хся</w:t>
      </w:r>
      <w:r w:rsidRPr="00EB023D">
        <w:rPr>
          <w:b/>
          <w:bCs/>
          <w:i/>
          <w:iCs/>
        </w:rPr>
        <w:t xml:space="preserve"> 30 июня 2021 г.;</w:t>
      </w:r>
    </w:p>
    <w:p w14:paraId="1604CBFA" w14:textId="76136485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за 6 месяцев, закончивши</w:t>
      </w:r>
      <w:r w:rsidR="001B799F">
        <w:rPr>
          <w:b/>
          <w:bCs/>
          <w:i/>
          <w:iCs/>
        </w:rPr>
        <w:t>хся</w:t>
      </w:r>
      <w:r w:rsidRPr="00EB023D">
        <w:rPr>
          <w:b/>
          <w:bCs/>
          <w:i/>
          <w:iCs/>
        </w:rPr>
        <w:t xml:space="preserve"> 30 июня 2022 г.;</w:t>
      </w:r>
    </w:p>
    <w:p w14:paraId="5111FF06" w14:textId="47B04DD4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за 6 месяцев, закончивши</w:t>
      </w:r>
      <w:r w:rsidR="001B799F">
        <w:rPr>
          <w:b/>
          <w:bCs/>
          <w:i/>
          <w:iCs/>
        </w:rPr>
        <w:t>хся</w:t>
      </w:r>
      <w:r w:rsidRPr="00EB023D">
        <w:rPr>
          <w:b/>
          <w:bCs/>
          <w:i/>
          <w:iCs/>
        </w:rPr>
        <w:t xml:space="preserve"> 30 июня 2023 г.</w:t>
      </w:r>
    </w:p>
    <w:p w14:paraId="3A7174C7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304320D0" w14:textId="77777777" w:rsidR="008F711C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 xml:space="preserve">Обзорная проверка раскрываемой консолидированной промежуточной сокращенной финансовой информации: </w:t>
      </w:r>
    </w:p>
    <w:p w14:paraId="2D99C9D7" w14:textId="2237C016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- за 6 месяцев, закончивши</w:t>
      </w:r>
      <w:r w:rsidR="001B799F">
        <w:rPr>
          <w:b/>
          <w:bCs/>
          <w:i/>
          <w:iCs/>
        </w:rPr>
        <w:t>хся</w:t>
      </w:r>
      <w:r w:rsidRPr="00EB023D">
        <w:rPr>
          <w:b/>
          <w:bCs/>
          <w:i/>
          <w:iCs/>
        </w:rPr>
        <w:t xml:space="preserve"> 30 июня 2023 г.</w:t>
      </w:r>
    </w:p>
    <w:p w14:paraId="7FE104E2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768552C0" w14:textId="77777777" w:rsidR="00B40AC7" w:rsidRPr="00811765" w:rsidRDefault="00B40AC7" w:rsidP="00B40AC7">
      <w:pPr>
        <w:spacing w:before="0" w:after="0"/>
        <w:jc w:val="both"/>
        <w:rPr>
          <w:bCs/>
          <w:iCs/>
        </w:rPr>
      </w:pPr>
      <w:r w:rsidRPr="00811765">
        <w:rPr>
          <w:bCs/>
          <w:iCs/>
        </w:rPr>
        <w:t xml:space="preserve">Описываются факторы,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группы: </w:t>
      </w:r>
    </w:p>
    <w:p w14:paraId="73C48B4E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56211D68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факторов, которые могут оказать влияние на независимость аудитора от Эмитента, а также существенных интересов, связывающих аудитора (должностных лиц аудитора) с Эмитентом (должностными лицами Эмитента), нет.</w:t>
      </w:r>
    </w:p>
    <w:p w14:paraId="4F71F22D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6164888E" w14:textId="77777777" w:rsidR="00B40AC7" w:rsidRPr="00811765" w:rsidRDefault="00B40AC7" w:rsidP="00B40AC7">
      <w:pPr>
        <w:spacing w:before="0" w:after="0"/>
        <w:jc w:val="both"/>
        <w:rPr>
          <w:bCs/>
          <w:iCs/>
        </w:rPr>
      </w:pPr>
      <w:r w:rsidRPr="00811765">
        <w:rPr>
          <w:bCs/>
          <w:iCs/>
        </w:rPr>
        <w:lastRenderedPageBreak/>
        <w:t>Указываются меры, предпринятые эмитентом и аудитором эмитента для снижения влияния факторов, которые могут оказать влияние на независимость аудитора.</w:t>
      </w:r>
    </w:p>
    <w:p w14:paraId="68D7921D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310D5D45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Аудитор является полностью независимым от органов управления Эмитента в соответствии с положениями статьи 8 Федерального закона от 30.12.2008 № 307-ФЗ «Об аудиторской деятельности»; размер вознаграждения аудитора не ставился в зависимость от результатов проведенной проверки. Основной мерой, предпринятой Эмитентом для предотвращения/снижения влияния указанных факторов, является процесс тщательного рассмотрения кандидатуры аудитора Эмитента на предмет его независимости от Эмитента при проведении процедуры выбора аудитора.</w:t>
      </w:r>
    </w:p>
    <w:p w14:paraId="68BFE7C5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0D97F27E" w14:textId="3F1134EB" w:rsidR="00B40AC7" w:rsidRPr="00811765" w:rsidRDefault="00B40AC7" w:rsidP="00B40AC7">
      <w:pPr>
        <w:spacing w:before="0" w:after="0"/>
        <w:jc w:val="both"/>
        <w:rPr>
          <w:bCs/>
          <w:iCs/>
        </w:rPr>
      </w:pPr>
      <w:r w:rsidRPr="00811765">
        <w:rPr>
          <w:bCs/>
          <w:iCs/>
        </w:rPr>
        <w:t>Описывается порядок выбора аудитора эмитентом</w:t>
      </w:r>
      <w:r w:rsidR="00811765" w:rsidRPr="00811765">
        <w:rPr>
          <w:bCs/>
          <w:iCs/>
        </w:rPr>
        <w:t xml:space="preserve"> </w:t>
      </w:r>
      <w:r w:rsidRPr="00811765">
        <w:rPr>
          <w:bCs/>
          <w:iCs/>
        </w:rPr>
        <w:t>процедура конкурса, связанного с выбором аудитора, и его основные условия</w:t>
      </w:r>
    </w:p>
    <w:p w14:paraId="193E8C11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В Обществе предусмотрена процедура проведения тендера. Тендерной комиссией проводится рассмотрение поданных конкурсных заявок, из которых выбирается наиболее оптимальное по соотношению цена/качество предложение. Далее Комитет по аудиту Совета директоров Эмитента рассматривает выбранного на основании тендерных процедур аудитора и рекомендует аудитора Совету директоров. Совет директоров выносит вопрос на утверждение на Общее собрание акционеров Эмитента, где происходит утверждение аудитора.</w:t>
      </w:r>
    </w:p>
    <w:p w14:paraId="0F9015CF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Основные условия тендера:</w:t>
      </w:r>
    </w:p>
    <w:p w14:paraId="25A1716E" w14:textId="77777777" w:rsidR="00B40AC7" w:rsidRPr="00EB023D" w:rsidRDefault="00B40AC7" w:rsidP="00B40AC7">
      <w:pPr>
        <w:numPr>
          <w:ilvl w:val="0"/>
          <w:numId w:val="20"/>
        </w:num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принадлежность к крупнейшим аудиторским компаниям;</w:t>
      </w:r>
    </w:p>
    <w:p w14:paraId="3D894A86" w14:textId="77777777" w:rsidR="00B40AC7" w:rsidRPr="00EB023D" w:rsidRDefault="00B40AC7" w:rsidP="00B40AC7">
      <w:pPr>
        <w:numPr>
          <w:ilvl w:val="0"/>
          <w:numId w:val="20"/>
        </w:num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наличие опыта аудита крупных российских компаний;</w:t>
      </w:r>
    </w:p>
    <w:p w14:paraId="56FCCE0C" w14:textId="77777777" w:rsidR="00B40AC7" w:rsidRPr="00EB023D" w:rsidRDefault="00B40AC7" w:rsidP="00B40AC7">
      <w:pPr>
        <w:numPr>
          <w:ilvl w:val="0"/>
          <w:numId w:val="20"/>
        </w:num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профессионализм рабочей группы, квалификация и опыт специалистов;</w:t>
      </w:r>
    </w:p>
    <w:p w14:paraId="3B797442" w14:textId="77777777" w:rsidR="00B40AC7" w:rsidRPr="00EB023D" w:rsidRDefault="00B40AC7" w:rsidP="00B40AC7">
      <w:pPr>
        <w:numPr>
          <w:ilvl w:val="0"/>
          <w:numId w:val="20"/>
        </w:num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стоимость услуг;</w:t>
      </w:r>
    </w:p>
    <w:p w14:paraId="3D6DCFE9" w14:textId="77777777" w:rsidR="00B40AC7" w:rsidRPr="00EB023D" w:rsidRDefault="00B40AC7" w:rsidP="00B40AC7">
      <w:pPr>
        <w:numPr>
          <w:ilvl w:val="0"/>
          <w:numId w:val="20"/>
        </w:num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готовность аудитора работать по установленным Эмитентом срокам.</w:t>
      </w:r>
    </w:p>
    <w:p w14:paraId="38CDDF82" w14:textId="5DE1522B" w:rsidR="00B40AC7" w:rsidRPr="00EB023D" w:rsidRDefault="00D243C2" w:rsidP="00B40AC7">
      <w:pPr>
        <w:spacing w:before="0"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</w:t>
      </w:r>
      <w:r w:rsidR="00B40AC7" w:rsidRPr="00EB023D">
        <w:rPr>
          <w:b/>
          <w:bCs/>
          <w:i/>
          <w:iCs/>
        </w:rPr>
        <w:t xml:space="preserve">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 выдвижении кандидатуры аудитора эмитента: </w:t>
      </w:r>
    </w:p>
    <w:p w14:paraId="4D044B1A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В соответствии с уставом Эмитента Совет директоров организует выбор кандидатов в аудиторы Общества. Аудитор Общества утверждается Общим собранием акционеров.</w:t>
      </w:r>
    </w:p>
    <w:p w14:paraId="38C20C39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075BB024" w14:textId="77777777" w:rsidR="00B40AC7" w:rsidRPr="00811765" w:rsidRDefault="00B40AC7" w:rsidP="00B40AC7">
      <w:pPr>
        <w:spacing w:before="0" w:after="0"/>
        <w:jc w:val="both"/>
        <w:rPr>
          <w:bCs/>
          <w:iCs/>
        </w:rPr>
      </w:pPr>
      <w:r w:rsidRPr="00811765">
        <w:rPr>
          <w:bCs/>
          <w:iCs/>
        </w:rPr>
        <w:t xml:space="preserve">Описывается порядок определения размера вознаграждения аудитора (аудиторской организации): </w:t>
      </w:r>
    </w:p>
    <w:p w14:paraId="638108DA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в соответствии с уставом Эмитента определение размера вознаграждения аудитора входит в компетенцию Совета директоров.</w:t>
      </w:r>
    </w:p>
    <w:p w14:paraId="683D80BD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1A80C1EE" w14:textId="7CD47679" w:rsidR="00B40AC7" w:rsidRPr="007E4C7C" w:rsidRDefault="00F157FA" w:rsidP="00B40AC7">
      <w:pPr>
        <w:spacing w:before="0" w:after="0"/>
        <w:jc w:val="both"/>
        <w:rPr>
          <w:bCs/>
          <w:iCs/>
        </w:rPr>
      </w:pPr>
      <w:r w:rsidRPr="007E4C7C">
        <w:rPr>
          <w:bCs/>
          <w:iCs/>
        </w:rPr>
        <w:t>Фактический р</w:t>
      </w:r>
      <w:r w:rsidR="00B40AC7" w:rsidRPr="007E4C7C">
        <w:rPr>
          <w:bCs/>
          <w:iCs/>
        </w:rPr>
        <w:t xml:space="preserve">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 </w:t>
      </w:r>
    </w:p>
    <w:p w14:paraId="589C972F" w14:textId="77777777" w:rsidR="00B40AC7" w:rsidRPr="007E4C7C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0A60CA1B" w14:textId="77777777" w:rsidR="00B40AC7" w:rsidRPr="007E4C7C" w:rsidRDefault="00B40AC7" w:rsidP="00B40AC7">
      <w:pPr>
        <w:spacing w:before="0" w:after="0"/>
        <w:jc w:val="both"/>
        <w:rPr>
          <w:b/>
          <w:bCs/>
          <w:i/>
          <w:iCs/>
        </w:rPr>
      </w:pPr>
      <w:r w:rsidRPr="007E4C7C">
        <w:rPr>
          <w:b/>
          <w:bCs/>
          <w:i/>
          <w:iCs/>
        </w:rPr>
        <w:t xml:space="preserve">9 275 000 (Девять миллионов двести семьдесят пять тысяч) рублей без учета НДС выплачено: </w:t>
      </w:r>
    </w:p>
    <w:p w14:paraId="5FAEB009" w14:textId="77777777" w:rsidR="007E4C7C" w:rsidRPr="007E4C7C" w:rsidRDefault="007E4C7C" w:rsidP="007E4C7C">
      <w:pPr>
        <w:spacing w:before="0" w:after="0"/>
        <w:jc w:val="both"/>
        <w:rPr>
          <w:b/>
          <w:bCs/>
          <w:i/>
          <w:iCs/>
        </w:rPr>
      </w:pPr>
      <w:r w:rsidRPr="007E4C7C">
        <w:rPr>
          <w:b/>
          <w:bCs/>
          <w:i/>
          <w:iCs/>
        </w:rPr>
        <w:t xml:space="preserve">- за услуги по аудиту консолидированной финансовой отчетности ПАО «Казаньоргсинтез» и его дочерних компаний за год, окончившийся 31 декабря 2023, подготовленной в соответствии с Международными стандартами финансовой отчетности; </w:t>
      </w:r>
    </w:p>
    <w:p w14:paraId="4BA42A73" w14:textId="19875F46" w:rsidR="007E4C7C" w:rsidRPr="007E4C7C" w:rsidRDefault="00201BED" w:rsidP="007E4C7C">
      <w:pPr>
        <w:spacing w:before="0"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7E4C7C" w:rsidRPr="007E4C7C">
        <w:rPr>
          <w:b/>
          <w:bCs/>
          <w:i/>
          <w:iCs/>
        </w:rPr>
        <w:t xml:space="preserve">за услуги по обзорной проверке консолидированной промежуточной сокращенной финансовой информации ПАО «Казаньоргсинтез» и его дочерних компаний за 6 месяцев, окончившихся 30 июня 2023 года; </w:t>
      </w:r>
    </w:p>
    <w:p w14:paraId="73FD6E2B" w14:textId="45CEE2E4" w:rsidR="007E4C7C" w:rsidRPr="007E4C7C" w:rsidRDefault="007E4C7C" w:rsidP="007E4C7C">
      <w:pPr>
        <w:spacing w:before="0" w:after="0"/>
        <w:jc w:val="both"/>
        <w:rPr>
          <w:b/>
          <w:bCs/>
          <w:i/>
          <w:iCs/>
        </w:rPr>
      </w:pPr>
      <w:r w:rsidRPr="007E4C7C">
        <w:rPr>
          <w:b/>
          <w:bCs/>
          <w:i/>
          <w:iCs/>
        </w:rPr>
        <w:t>- за услуги по аудиту бухгалтерской отчетности ПАО «Казаньорг</w:t>
      </w:r>
      <w:r w:rsidR="00201BED">
        <w:rPr>
          <w:b/>
          <w:bCs/>
          <w:i/>
          <w:iCs/>
        </w:rPr>
        <w:t>синтез» за год, окончившийся 31 </w:t>
      </w:r>
      <w:r w:rsidRPr="007E4C7C">
        <w:rPr>
          <w:b/>
          <w:bCs/>
          <w:i/>
          <w:iCs/>
        </w:rPr>
        <w:t>декабря 2023, подготовленной исходя из законодательства РФ в части подготовки бухгалтерской отчетности;</w:t>
      </w:r>
    </w:p>
    <w:p w14:paraId="5C785324" w14:textId="2B132EBC" w:rsidR="007E4C7C" w:rsidRPr="007E4C7C" w:rsidRDefault="007E4C7C" w:rsidP="007E4C7C">
      <w:pPr>
        <w:spacing w:before="0" w:after="0"/>
        <w:jc w:val="both"/>
        <w:rPr>
          <w:b/>
          <w:bCs/>
          <w:i/>
          <w:iCs/>
        </w:rPr>
      </w:pPr>
      <w:r w:rsidRPr="007E4C7C">
        <w:rPr>
          <w:b/>
          <w:bCs/>
          <w:i/>
          <w:iCs/>
        </w:rPr>
        <w:t>-</w:t>
      </w:r>
      <w:r w:rsidR="00201BED">
        <w:rPr>
          <w:b/>
          <w:bCs/>
          <w:i/>
          <w:iCs/>
        </w:rPr>
        <w:t> </w:t>
      </w:r>
      <w:r w:rsidRPr="007E4C7C">
        <w:rPr>
          <w:b/>
          <w:bCs/>
          <w:i/>
          <w:iCs/>
        </w:rPr>
        <w:t>за услуги по аудиту раскрываемой консолидиров</w:t>
      </w:r>
      <w:r w:rsidR="00201BED">
        <w:rPr>
          <w:b/>
          <w:bCs/>
          <w:i/>
          <w:iCs/>
        </w:rPr>
        <w:t>анной финансовой отчетности ПАО </w:t>
      </w:r>
      <w:r w:rsidRPr="007E4C7C">
        <w:rPr>
          <w:b/>
          <w:bCs/>
          <w:i/>
          <w:iCs/>
        </w:rPr>
        <w:t>«Казаньоргсинтез» и его дочерних компаний за 2023 год;</w:t>
      </w:r>
    </w:p>
    <w:p w14:paraId="0F1A7F19" w14:textId="44960FE0" w:rsidR="007E4C7C" w:rsidRDefault="007E4C7C" w:rsidP="007E4C7C">
      <w:pPr>
        <w:spacing w:before="0" w:after="0"/>
        <w:jc w:val="both"/>
        <w:rPr>
          <w:b/>
          <w:bCs/>
          <w:i/>
          <w:iCs/>
        </w:rPr>
      </w:pPr>
      <w:r w:rsidRPr="007E4C7C">
        <w:rPr>
          <w:b/>
          <w:bCs/>
          <w:i/>
          <w:iCs/>
        </w:rPr>
        <w:t>-</w:t>
      </w:r>
      <w:r w:rsidR="00201BED">
        <w:rPr>
          <w:b/>
          <w:bCs/>
          <w:i/>
          <w:iCs/>
        </w:rPr>
        <w:t> </w:t>
      </w:r>
      <w:r w:rsidRPr="007E4C7C">
        <w:rPr>
          <w:b/>
          <w:bCs/>
          <w:i/>
          <w:iCs/>
        </w:rPr>
        <w:t>за услуги по обзорной проверке раскрываемой консолидированной промежуточной сокращенной финансовой информации ПАО «Казаньоргсинтез» и его дочерних компаний за 6 месяцев, окончившихся 30 июня 2023 года.</w:t>
      </w:r>
    </w:p>
    <w:p w14:paraId="60B85D5D" w14:textId="77777777" w:rsidR="00587973" w:rsidRPr="007E4C7C" w:rsidRDefault="00587973" w:rsidP="007E4C7C">
      <w:pPr>
        <w:spacing w:before="0" w:after="0"/>
        <w:jc w:val="both"/>
        <w:rPr>
          <w:b/>
          <w:bCs/>
          <w:i/>
          <w:iCs/>
        </w:rPr>
      </w:pPr>
    </w:p>
    <w:p w14:paraId="07D1A60C" w14:textId="7B2D3AE8" w:rsidR="00D243C2" w:rsidRPr="00587973" w:rsidRDefault="00D243C2" w:rsidP="00B40AC7">
      <w:pPr>
        <w:spacing w:before="0" w:after="0"/>
        <w:jc w:val="both"/>
        <w:rPr>
          <w:b/>
          <w:bCs/>
          <w:i/>
          <w:iCs/>
        </w:rPr>
      </w:pPr>
      <w:r w:rsidRPr="00587973">
        <w:rPr>
          <w:b/>
          <w:i/>
        </w:rPr>
        <w:t>Сопутствующих аудиту и прочих</w:t>
      </w:r>
      <w:r w:rsidR="00B007E1" w:rsidRPr="00587973">
        <w:rPr>
          <w:b/>
          <w:i/>
        </w:rPr>
        <w:t>,</w:t>
      </w:r>
      <w:r w:rsidRPr="00587973">
        <w:rPr>
          <w:b/>
          <w:i/>
        </w:rPr>
        <w:t xml:space="preserve"> связанных с аудиторской деятельностью услуг</w:t>
      </w:r>
      <w:r w:rsidR="00B007E1" w:rsidRPr="00587973">
        <w:rPr>
          <w:b/>
          <w:i/>
        </w:rPr>
        <w:t>,</w:t>
      </w:r>
      <w:r w:rsidRPr="00587973">
        <w:rPr>
          <w:b/>
          <w:i/>
        </w:rPr>
        <w:t xml:space="preserve"> Эмитенту не оказывалось.</w:t>
      </w:r>
    </w:p>
    <w:p w14:paraId="5CD1EDEE" w14:textId="65FDFE10" w:rsidR="00D243C2" w:rsidRDefault="00D243C2" w:rsidP="00B40AC7">
      <w:pPr>
        <w:spacing w:before="0" w:after="0"/>
        <w:jc w:val="both"/>
        <w:rPr>
          <w:b/>
          <w:bCs/>
          <w:i/>
          <w:iCs/>
        </w:rPr>
      </w:pPr>
    </w:p>
    <w:p w14:paraId="573D03EA" w14:textId="7B53C9D4" w:rsidR="00B40AC7" w:rsidRPr="005219AB" w:rsidRDefault="00B40AC7" w:rsidP="00B40AC7">
      <w:pPr>
        <w:spacing w:before="0" w:after="0"/>
        <w:jc w:val="both"/>
        <w:rPr>
          <w:bCs/>
          <w:iCs/>
        </w:rPr>
      </w:pPr>
      <w:r w:rsidRPr="005219AB">
        <w:rPr>
          <w:bCs/>
          <w:iCs/>
        </w:rPr>
        <w:lastRenderedPageBreak/>
        <w:t xml:space="preserve">Указывается размер вознаграждения за оказанные аудитором эмитента услуги, выплата которого отложена или просрочена эмитентом, с отдельным указанием отложенного или просроченного вознаграждения за аудит (проверку), в том числе обязательный, отчетности эмитента и за оказание сопутствующих аудиту и прочих связанных с </w:t>
      </w:r>
      <w:r w:rsidR="005219AB">
        <w:rPr>
          <w:bCs/>
          <w:iCs/>
        </w:rPr>
        <w:t>аудиторской деятельностью услуг</w:t>
      </w:r>
    </w:p>
    <w:p w14:paraId="5ACBFB40" w14:textId="77777777" w:rsidR="00B40AC7" w:rsidRPr="00EB023D" w:rsidRDefault="00B40AC7" w:rsidP="005219AB">
      <w:pPr>
        <w:spacing w:before="0" w:after="0"/>
        <w:ind w:firstLine="426"/>
        <w:jc w:val="both"/>
        <w:rPr>
          <w:b/>
          <w:bCs/>
          <w:i/>
          <w:iCs/>
        </w:rPr>
      </w:pPr>
      <w:r w:rsidRPr="00EB023D">
        <w:rPr>
          <w:b/>
          <w:bCs/>
          <w:i/>
          <w:iCs/>
        </w:rPr>
        <w:t>Отложенные и просроченные платежи отсутствовали и отсутствуют.</w:t>
      </w:r>
    </w:p>
    <w:p w14:paraId="5E72BEE2" w14:textId="77777777" w:rsidR="00B40AC7" w:rsidRPr="00EB023D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655ACBBA" w14:textId="37261F62" w:rsidR="00371E84" w:rsidRPr="00EB023D" w:rsidRDefault="00371E84" w:rsidP="00B40AC7">
      <w:pPr>
        <w:spacing w:before="0" w:after="0"/>
        <w:jc w:val="both"/>
        <w:rPr>
          <w:b/>
          <w:bCs/>
          <w:i/>
          <w:iCs/>
        </w:rPr>
        <w:sectPr w:rsidR="00371E84" w:rsidRPr="00EB023D"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370483D1" w14:textId="274DCD7A" w:rsidR="003345E9" w:rsidRPr="00EB023D" w:rsidRDefault="003345E9" w:rsidP="00083537">
      <w:pPr>
        <w:pStyle w:val="1"/>
      </w:pPr>
      <w:bookmarkStart w:id="59" w:name="_Toc164444131"/>
      <w:r w:rsidRPr="00EB023D">
        <w:lastRenderedPageBreak/>
        <w:t>Раздел 5. Консолидированная финансовая отчетность (финансовая отчетность), бухгалтерская (финансовая) отчетность эмитента</w:t>
      </w:r>
      <w:bookmarkEnd w:id="59"/>
    </w:p>
    <w:p w14:paraId="4341C95C" w14:textId="77777777" w:rsidR="003345E9" w:rsidRPr="00EB023D" w:rsidRDefault="003345E9" w:rsidP="00554B3C">
      <w:pPr>
        <w:pStyle w:val="2"/>
        <w:jc w:val="both"/>
      </w:pPr>
      <w:bookmarkStart w:id="60" w:name="_Toc164444132"/>
      <w:r w:rsidRPr="00EB023D">
        <w:t>5.1. Консолидированная финансовая отчетность (финансовая отчетность) эмитента</w:t>
      </w:r>
      <w:bookmarkEnd w:id="60"/>
    </w:p>
    <w:p w14:paraId="21C3F899" w14:textId="1821B5CE" w:rsidR="00AE6954" w:rsidRPr="00EB023D" w:rsidRDefault="00F261CC" w:rsidP="00AE6954">
      <w:pPr>
        <w:pStyle w:val="ConsPlusNormal"/>
        <w:spacing w:before="240"/>
        <w:jc w:val="both"/>
        <w:rPr>
          <w:b/>
          <w:bCs/>
          <w:i/>
        </w:rPr>
      </w:pPr>
      <w:r w:rsidRPr="00EB023D">
        <w:rPr>
          <w:b/>
          <w:bCs/>
          <w:i/>
        </w:rPr>
        <w:t>Ссылка на раскрываемую консолидированную финансовую отчетность, и отчет независимого аудитора по состоянию на и за год, закончившийся 31 декабря 2023:</w:t>
      </w:r>
      <w:r w:rsidR="00AE6954" w:rsidRPr="00EB023D">
        <w:t xml:space="preserve"> </w:t>
      </w:r>
      <w:hyperlink r:id="rId21" w:history="1">
        <w:r w:rsidR="00AE6954" w:rsidRPr="00EB023D">
          <w:rPr>
            <w:rStyle w:val="aa"/>
            <w:b/>
            <w:bCs/>
            <w:i/>
            <w:color w:val="auto"/>
          </w:rPr>
          <w:t>https://disclosure.skrin.ru/disclosure/1658008723/?DTI=9</w:t>
        </w:r>
      </w:hyperlink>
      <w:r w:rsidR="00AE6954" w:rsidRPr="00EB023D">
        <w:rPr>
          <w:b/>
          <w:bCs/>
          <w:i/>
        </w:rPr>
        <w:t xml:space="preserve"> </w:t>
      </w:r>
    </w:p>
    <w:p w14:paraId="35BA22BE" w14:textId="57B12C91" w:rsidR="00DB2A8B" w:rsidRPr="00EB023D" w:rsidRDefault="00DB2A8B" w:rsidP="00DB2A8B">
      <w:pPr>
        <w:pStyle w:val="ConsPlusNormal"/>
        <w:spacing w:before="240"/>
        <w:jc w:val="both"/>
      </w:pPr>
    </w:p>
    <w:p w14:paraId="6066BB45" w14:textId="77777777" w:rsidR="003345E9" w:rsidRPr="00EB023D" w:rsidRDefault="003345E9" w:rsidP="00554B3C">
      <w:pPr>
        <w:pStyle w:val="2"/>
        <w:jc w:val="both"/>
      </w:pPr>
      <w:bookmarkStart w:id="61" w:name="_Toc164444133"/>
      <w:r w:rsidRPr="00EB023D">
        <w:t>5.2. Бухгалтерская (финансовая) отчетность</w:t>
      </w:r>
      <w:bookmarkEnd w:id="61"/>
    </w:p>
    <w:p w14:paraId="40FE3A9C" w14:textId="12F037E4" w:rsidR="00DB2A8B" w:rsidRPr="00EB023D" w:rsidRDefault="00085215" w:rsidP="00F261CC">
      <w:pPr>
        <w:pStyle w:val="ConsPlusNormal"/>
        <w:spacing w:before="240"/>
        <w:jc w:val="both"/>
        <w:rPr>
          <w:b/>
          <w:bCs/>
          <w:i/>
        </w:rPr>
      </w:pPr>
      <w:r w:rsidRPr="00E45DFA">
        <w:rPr>
          <w:b/>
          <w:bCs/>
          <w:i/>
          <w:color w:val="000000" w:themeColor="text1"/>
        </w:rPr>
        <w:t>Ссылка на бухгалтерскую (финансовую) отчетность и аудиторское заключение независимого аудитора 31 декабря 2023 г.:</w:t>
      </w:r>
      <w:r w:rsidR="00AE6954" w:rsidRPr="00EB023D">
        <w:t xml:space="preserve"> </w:t>
      </w:r>
      <w:hyperlink r:id="rId22" w:history="1">
        <w:r w:rsidR="006C029D" w:rsidRPr="00DD1ED6">
          <w:rPr>
            <w:rStyle w:val="aa"/>
            <w:b/>
            <w:i/>
            <w:color w:val="000000" w:themeColor="text1"/>
          </w:rPr>
          <w:t>https://disclosure.skrin.ru/disclosure/1658008723/?DTI=8</w:t>
        </w:r>
      </w:hyperlink>
      <w:r w:rsidR="006C029D" w:rsidRPr="006C029D">
        <w:rPr>
          <w:b/>
          <w:i/>
        </w:rPr>
        <w:t xml:space="preserve"> </w:t>
      </w:r>
    </w:p>
    <w:p w14:paraId="63419922" w14:textId="77777777" w:rsidR="00DB2A8B" w:rsidRPr="00EB023D" w:rsidRDefault="00DB2A8B" w:rsidP="00653F1E">
      <w:pPr>
        <w:pStyle w:val="ConsPlusNormal"/>
        <w:spacing w:before="240"/>
        <w:jc w:val="both"/>
        <w:rPr>
          <w:rStyle w:val="BasicChar"/>
          <w:b/>
          <w:bCs/>
          <w:iCs/>
          <w:lang w:val="ru-RU"/>
        </w:rPr>
      </w:pPr>
    </w:p>
    <w:sectPr w:rsidR="00DB2A8B" w:rsidRPr="00EB023D">
      <w:pgSz w:w="11907" w:h="16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4A427" w14:textId="77777777" w:rsidR="00971CBF" w:rsidRDefault="00971CBF">
      <w:pPr>
        <w:spacing w:before="0" w:after="0"/>
      </w:pPr>
      <w:r>
        <w:separator/>
      </w:r>
    </w:p>
  </w:endnote>
  <w:endnote w:type="continuationSeparator" w:id="0">
    <w:p w14:paraId="734428D9" w14:textId="77777777" w:rsidR="00971CBF" w:rsidRDefault="00971C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9B74B" w14:textId="08A39620" w:rsidR="0061053E" w:rsidRDefault="0061053E">
    <w:pPr>
      <w:framePr w:wrap="auto" w:hAnchor="text" w:xAlign="right"/>
      <w:spacing w:before="0" w:after="0"/>
    </w:pPr>
    <w:r>
      <w:fldChar w:fldCharType="begin"/>
    </w:r>
    <w:r>
      <w:instrText>PAGE</w:instrText>
    </w:r>
    <w:r>
      <w:fldChar w:fldCharType="separate"/>
    </w:r>
    <w:r w:rsidR="00EC6B2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5B29D" w14:textId="77777777" w:rsidR="00971CBF" w:rsidRDefault="00971CBF">
      <w:pPr>
        <w:spacing w:before="0" w:after="0"/>
      </w:pPr>
      <w:r>
        <w:separator/>
      </w:r>
    </w:p>
  </w:footnote>
  <w:footnote w:type="continuationSeparator" w:id="0">
    <w:p w14:paraId="6D520B24" w14:textId="77777777" w:rsidR="00971CBF" w:rsidRDefault="00971CBF">
      <w:pPr>
        <w:spacing w:before="0" w:after="0"/>
      </w:pPr>
      <w:r>
        <w:continuationSeparator/>
      </w:r>
    </w:p>
  </w:footnote>
  <w:footnote w:id="1">
    <w:p w14:paraId="4FE888EB" w14:textId="40E801EC" w:rsidR="0061053E" w:rsidRDefault="0061053E" w:rsidP="00753D8E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7005CC">
        <w:t>н/д - В раскрываемой консолидированной финансовой отчетности по состоянию на и за год, закончившийся 31 декабря 2023 г., не раскрыты данные, необходимые для расчета данного показателя. Следовательно, информация о статьях, на основе которых рассчитывается EBITDA, также не раскрывается.</w:t>
      </w:r>
    </w:p>
  </w:footnote>
  <w:footnote w:id="2">
    <w:p w14:paraId="6A7964C9" w14:textId="77C9BFBF" w:rsidR="0061053E" w:rsidRDefault="0061053E" w:rsidP="001D536C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3">
    <w:p w14:paraId="3C13A6A0" w14:textId="6DB05C12" w:rsidR="0061053E" w:rsidRDefault="0061053E" w:rsidP="003413AF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4">
    <w:p w14:paraId="09C43D7E" w14:textId="58A676BF" w:rsidR="0061053E" w:rsidRDefault="0061053E" w:rsidP="004E22C8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5">
    <w:p w14:paraId="7582EB1F" w14:textId="5FB2FBA2" w:rsidR="0061053E" w:rsidRDefault="0061053E" w:rsidP="00F10479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6">
    <w:p w14:paraId="5CE5D683" w14:textId="08ACDF15" w:rsidR="0061053E" w:rsidRDefault="0061053E" w:rsidP="00F10479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7">
    <w:p w14:paraId="678225C4" w14:textId="12F1E771" w:rsidR="0061053E" w:rsidRDefault="0061053E" w:rsidP="00D1595C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8">
    <w:p w14:paraId="46AD8799" w14:textId="51E1673B" w:rsidR="0061053E" w:rsidRDefault="0061053E" w:rsidP="00127934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9">
    <w:p w14:paraId="26AE109D" w14:textId="6DB40F94" w:rsidR="0061053E" w:rsidRDefault="0061053E" w:rsidP="00127934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10">
    <w:p w14:paraId="79BD5F92" w14:textId="548D49D6" w:rsidR="0061053E" w:rsidRDefault="0061053E" w:rsidP="008A05B1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8A05B1">
        <w:t>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11">
    <w:p w14:paraId="58086922" w14:textId="7042B821" w:rsidR="0061053E" w:rsidRDefault="0061053E" w:rsidP="008F711C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8F711C">
        <w:t>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12">
    <w:p w14:paraId="7920A463" w14:textId="6F326ADA" w:rsidR="0061053E" w:rsidRDefault="0061053E" w:rsidP="00A70175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A70175">
        <w:t>В период между отчетной датой (датой окончания отчетного периода) и датой раскрытия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7820D" w14:textId="5F4CD1ED" w:rsidR="0061053E" w:rsidRDefault="0061053E">
    <w:pPr>
      <w:pStyle w:val="ab"/>
    </w:pPr>
  </w:p>
  <w:p w14:paraId="211E550E" w14:textId="195D5A4A" w:rsidR="0061053E" w:rsidRDefault="0061053E">
    <w:pPr>
      <w:pStyle w:val="ab"/>
    </w:pPr>
  </w:p>
  <w:p w14:paraId="2D5D9B61" w14:textId="4F0AD6F4" w:rsidR="0061053E" w:rsidRDefault="0061053E">
    <w:pPr>
      <w:pStyle w:val="ab"/>
    </w:pPr>
  </w:p>
  <w:p w14:paraId="6DE51E49" w14:textId="77777777" w:rsidR="0061053E" w:rsidRDefault="006105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990"/>
    <w:multiLevelType w:val="hybridMultilevel"/>
    <w:tmpl w:val="BAA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B87"/>
    <w:multiLevelType w:val="hybridMultilevel"/>
    <w:tmpl w:val="F0BAA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27733F"/>
    <w:multiLevelType w:val="hybridMultilevel"/>
    <w:tmpl w:val="331E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2B41"/>
    <w:multiLevelType w:val="multilevel"/>
    <w:tmpl w:val="E89435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64022"/>
    <w:multiLevelType w:val="hybridMultilevel"/>
    <w:tmpl w:val="3718F2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2DBB"/>
    <w:multiLevelType w:val="hybridMultilevel"/>
    <w:tmpl w:val="37E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26A9D"/>
    <w:multiLevelType w:val="hybridMultilevel"/>
    <w:tmpl w:val="AF3ADE7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1B5300F6"/>
    <w:multiLevelType w:val="hybridMultilevel"/>
    <w:tmpl w:val="08A2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0052B"/>
    <w:multiLevelType w:val="hybridMultilevel"/>
    <w:tmpl w:val="E12CD8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0F5C19"/>
    <w:multiLevelType w:val="hybridMultilevel"/>
    <w:tmpl w:val="0BB09906"/>
    <w:lvl w:ilvl="0" w:tplc="E54E89EA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0" w15:restartNumberingAfterBreak="0">
    <w:nsid w:val="24767658"/>
    <w:multiLevelType w:val="hybridMultilevel"/>
    <w:tmpl w:val="9A38067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2AB52D27"/>
    <w:multiLevelType w:val="multilevel"/>
    <w:tmpl w:val="B95A593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2CD6426B"/>
    <w:multiLevelType w:val="multilevel"/>
    <w:tmpl w:val="BC92B9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905C0"/>
    <w:multiLevelType w:val="multilevel"/>
    <w:tmpl w:val="9DAEB0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3C3741E8"/>
    <w:multiLevelType w:val="hybridMultilevel"/>
    <w:tmpl w:val="22FCA84A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F95F2C"/>
    <w:multiLevelType w:val="hybridMultilevel"/>
    <w:tmpl w:val="BA08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2BA4"/>
    <w:multiLevelType w:val="multilevel"/>
    <w:tmpl w:val="9A26140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484F36"/>
    <w:multiLevelType w:val="hybridMultilevel"/>
    <w:tmpl w:val="0A42D84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57231570"/>
    <w:multiLevelType w:val="hybridMultilevel"/>
    <w:tmpl w:val="357AD1A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5DDF7611"/>
    <w:multiLevelType w:val="hybridMultilevel"/>
    <w:tmpl w:val="7C4E517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61067F92"/>
    <w:multiLevelType w:val="hybridMultilevel"/>
    <w:tmpl w:val="B50860E6"/>
    <w:lvl w:ilvl="0" w:tplc="8F02BC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7DA"/>
    <w:multiLevelType w:val="hybridMultilevel"/>
    <w:tmpl w:val="3A7E441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45F5A68"/>
    <w:multiLevelType w:val="hybridMultilevel"/>
    <w:tmpl w:val="15AE1E4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64741052"/>
    <w:multiLevelType w:val="hybridMultilevel"/>
    <w:tmpl w:val="492EEC0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8CE0482"/>
    <w:multiLevelType w:val="hybridMultilevel"/>
    <w:tmpl w:val="5668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62CD"/>
    <w:multiLevelType w:val="hybridMultilevel"/>
    <w:tmpl w:val="2E5613D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B93437A"/>
    <w:multiLevelType w:val="multilevel"/>
    <w:tmpl w:val="9A26140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3062A1"/>
    <w:multiLevelType w:val="hybridMultilevel"/>
    <w:tmpl w:val="B12A3E28"/>
    <w:lvl w:ilvl="0" w:tplc="A8844C8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0537543"/>
    <w:multiLevelType w:val="hybridMultilevel"/>
    <w:tmpl w:val="D42E864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0EB3EBC"/>
    <w:multiLevelType w:val="hybridMultilevel"/>
    <w:tmpl w:val="09E27F1E"/>
    <w:lvl w:ilvl="0" w:tplc="EC7E2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7358F7"/>
    <w:multiLevelType w:val="multilevel"/>
    <w:tmpl w:val="8B00F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63176C3"/>
    <w:multiLevelType w:val="hybridMultilevel"/>
    <w:tmpl w:val="CA78E4D4"/>
    <w:lvl w:ilvl="0" w:tplc="93522572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32" w15:restartNumberingAfterBreak="0">
    <w:nsid w:val="79451BEF"/>
    <w:multiLevelType w:val="hybridMultilevel"/>
    <w:tmpl w:val="4666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93EEF"/>
    <w:multiLevelType w:val="hybridMultilevel"/>
    <w:tmpl w:val="5134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B45EF"/>
    <w:multiLevelType w:val="hybridMultilevel"/>
    <w:tmpl w:val="E2F0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6"/>
  </w:num>
  <w:num w:numId="4">
    <w:abstractNumId w:val="12"/>
  </w:num>
  <w:num w:numId="5">
    <w:abstractNumId w:val="13"/>
  </w:num>
  <w:num w:numId="6">
    <w:abstractNumId w:val="11"/>
  </w:num>
  <w:num w:numId="7">
    <w:abstractNumId w:val="30"/>
  </w:num>
  <w:num w:numId="8">
    <w:abstractNumId w:val="5"/>
  </w:num>
  <w:num w:numId="9">
    <w:abstractNumId w:val="3"/>
  </w:num>
  <w:num w:numId="10">
    <w:abstractNumId w:val="34"/>
  </w:num>
  <w:num w:numId="11">
    <w:abstractNumId w:val="8"/>
  </w:num>
  <w:num w:numId="12">
    <w:abstractNumId w:val="14"/>
  </w:num>
  <w:num w:numId="13">
    <w:abstractNumId w:val="19"/>
  </w:num>
  <w:num w:numId="14">
    <w:abstractNumId w:val="21"/>
  </w:num>
  <w:num w:numId="15">
    <w:abstractNumId w:val="9"/>
  </w:num>
  <w:num w:numId="16">
    <w:abstractNumId w:val="23"/>
  </w:num>
  <w:num w:numId="17">
    <w:abstractNumId w:val="2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29"/>
  </w:num>
  <w:num w:numId="22">
    <w:abstractNumId w:val="31"/>
  </w:num>
  <w:num w:numId="23">
    <w:abstractNumId w:val="7"/>
  </w:num>
  <w:num w:numId="24">
    <w:abstractNumId w:val="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5"/>
  </w:num>
  <w:num w:numId="29">
    <w:abstractNumId w:val="18"/>
  </w:num>
  <w:num w:numId="30">
    <w:abstractNumId w:val="28"/>
  </w:num>
  <w:num w:numId="31">
    <w:abstractNumId w:val="0"/>
  </w:num>
  <w:num w:numId="32">
    <w:abstractNumId w:val="10"/>
  </w:num>
  <w:num w:numId="33">
    <w:abstractNumId w:val="17"/>
  </w:num>
  <w:num w:numId="34">
    <w:abstractNumId w:val="2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94"/>
    <w:rsid w:val="00000C4C"/>
    <w:rsid w:val="00001F8F"/>
    <w:rsid w:val="000028F2"/>
    <w:rsid w:val="00002FB9"/>
    <w:rsid w:val="00010AB1"/>
    <w:rsid w:val="0001390F"/>
    <w:rsid w:val="00021068"/>
    <w:rsid w:val="00022B6C"/>
    <w:rsid w:val="00022B6E"/>
    <w:rsid w:val="00026793"/>
    <w:rsid w:val="00031028"/>
    <w:rsid w:val="00032A5A"/>
    <w:rsid w:val="00033E3F"/>
    <w:rsid w:val="00040CA7"/>
    <w:rsid w:val="00042ADE"/>
    <w:rsid w:val="000436C1"/>
    <w:rsid w:val="00046E50"/>
    <w:rsid w:val="00050B23"/>
    <w:rsid w:val="00050DFA"/>
    <w:rsid w:val="00055077"/>
    <w:rsid w:val="00055A1D"/>
    <w:rsid w:val="000612B8"/>
    <w:rsid w:val="00061B24"/>
    <w:rsid w:val="00062785"/>
    <w:rsid w:val="00067FE0"/>
    <w:rsid w:val="00070FA9"/>
    <w:rsid w:val="0007220B"/>
    <w:rsid w:val="00072F07"/>
    <w:rsid w:val="00083537"/>
    <w:rsid w:val="00085215"/>
    <w:rsid w:val="00085625"/>
    <w:rsid w:val="000859DA"/>
    <w:rsid w:val="00087256"/>
    <w:rsid w:val="0009104B"/>
    <w:rsid w:val="0009161F"/>
    <w:rsid w:val="00092306"/>
    <w:rsid w:val="0009264B"/>
    <w:rsid w:val="000926B4"/>
    <w:rsid w:val="00093785"/>
    <w:rsid w:val="00093F8A"/>
    <w:rsid w:val="00094CFE"/>
    <w:rsid w:val="000950C9"/>
    <w:rsid w:val="000A10E3"/>
    <w:rsid w:val="000A1A33"/>
    <w:rsid w:val="000A1AD9"/>
    <w:rsid w:val="000A3599"/>
    <w:rsid w:val="000A576F"/>
    <w:rsid w:val="000A6DA4"/>
    <w:rsid w:val="000A7AE4"/>
    <w:rsid w:val="000B0C5B"/>
    <w:rsid w:val="000B18F0"/>
    <w:rsid w:val="000B1B65"/>
    <w:rsid w:val="000B1B8D"/>
    <w:rsid w:val="000B1C2D"/>
    <w:rsid w:val="000B37AC"/>
    <w:rsid w:val="000B3DE6"/>
    <w:rsid w:val="000B4313"/>
    <w:rsid w:val="000B5343"/>
    <w:rsid w:val="000B6731"/>
    <w:rsid w:val="000C0650"/>
    <w:rsid w:val="000D1F73"/>
    <w:rsid w:val="000D220E"/>
    <w:rsid w:val="000D6525"/>
    <w:rsid w:val="000E3217"/>
    <w:rsid w:val="000E7FC8"/>
    <w:rsid w:val="000F4538"/>
    <w:rsid w:val="000F475C"/>
    <w:rsid w:val="000F613E"/>
    <w:rsid w:val="000F631D"/>
    <w:rsid w:val="001024A7"/>
    <w:rsid w:val="00103017"/>
    <w:rsid w:val="0010796B"/>
    <w:rsid w:val="00114E60"/>
    <w:rsid w:val="001179E7"/>
    <w:rsid w:val="001242B0"/>
    <w:rsid w:val="001264E9"/>
    <w:rsid w:val="00127648"/>
    <w:rsid w:val="00127934"/>
    <w:rsid w:val="0013092F"/>
    <w:rsid w:val="00131005"/>
    <w:rsid w:val="00131E0C"/>
    <w:rsid w:val="001327E9"/>
    <w:rsid w:val="00133119"/>
    <w:rsid w:val="0013326C"/>
    <w:rsid w:val="00133E79"/>
    <w:rsid w:val="00134CFC"/>
    <w:rsid w:val="001350F0"/>
    <w:rsid w:val="00141411"/>
    <w:rsid w:val="001458BB"/>
    <w:rsid w:val="00146688"/>
    <w:rsid w:val="001501E1"/>
    <w:rsid w:val="0015064F"/>
    <w:rsid w:val="0015154E"/>
    <w:rsid w:val="00151C6C"/>
    <w:rsid w:val="001527AB"/>
    <w:rsid w:val="001539F1"/>
    <w:rsid w:val="00153D96"/>
    <w:rsid w:val="00154B56"/>
    <w:rsid w:val="00155A72"/>
    <w:rsid w:val="00156446"/>
    <w:rsid w:val="001578A2"/>
    <w:rsid w:val="00157B93"/>
    <w:rsid w:val="0016058B"/>
    <w:rsid w:val="00160EEE"/>
    <w:rsid w:val="0016168E"/>
    <w:rsid w:val="0017003F"/>
    <w:rsid w:val="00176A07"/>
    <w:rsid w:val="0018105C"/>
    <w:rsid w:val="001814DF"/>
    <w:rsid w:val="0018175E"/>
    <w:rsid w:val="00182E03"/>
    <w:rsid w:val="00185868"/>
    <w:rsid w:val="0019369B"/>
    <w:rsid w:val="001938B3"/>
    <w:rsid w:val="001944A8"/>
    <w:rsid w:val="001962B6"/>
    <w:rsid w:val="001A0988"/>
    <w:rsid w:val="001A0BB2"/>
    <w:rsid w:val="001A4574"/>
    <w:rsid w:val="001A6A49"/>
    <w:rsid w:val="001B3E0B"/>
    <w:rsid w:val="001B4572"/>
    <w:rsid w:val="001B708E"/>
    <w:rsid w:val="001B799F"/>
    <w:rsid w:val="001C2122"/>
    <w:rsid w:val="001C586D"/>
    <w:rsid w:val="001C7565"/>
    <w:rsid w:val="001D18B7"/>
    <w:rsid w:val="001D536C"/>
    <w:rsid w:val="001E1ED3"/>
    <w:rsid w:val="001E6602"/>
    <w:rsid w:val="001E68ED"/>
    <w:rsid w:val="001F1959"/>
    <w:rsid w:val="001F3B11"/>
    <w:rsid w:val="001F6146"/>
    <w:rsid w:val="001F7113"/>
    <w:rsid w:val="0020009D"/>
    <w:rsid w:val="002008EE"/>
    <w:rsid w:val="00201BED"/>
    <w:rsid w:val="00203628"/>
    <w:rsid w:val="002038B0"/>
    <w:rsid w:val="00206172"/>
    <w:rsid w:val="002127B1"/>
    <w:rsid w:val="00214C05"/>
    <w:rsid w:val="002163C7"/>
    <w:rsid w:val="00220BDB"/>
    <w:rsid w:val="0023284F"/>
    <w:rsid w:val="00251B5A"/>
    <w:rsid w:val="00253DD2"/>
    <w:rsid w:val="00256144"/>
    <w:rsid w:val="00256F48"/>
    <w:rsid w:val="00276378"/>
    <w:rsid w:val="00276D3D"/>
    <w:rsid w:val="00277EA0"/>
    <w:rsid w:val="002806C9"/>
    <w:rsid w:val="00283E95"/>
    <w:rsid w:val="00285D78"/>
    <w:rsid w:val="0029621D"/>
    <w:rsid w:val="002A01D0"/>
    <w:rsid w:val="002A1BDE"/>
    <w:rsid w:val="002A5239"/>
    <w:rsid w:val="002A6B62"/>
    <w:rsid w:val="002A6D85"/>
    <w:rsid w:val="002B1192"/>
    <w:rsid w:val="002B2096"/>
    <w:rsid w:val="002B215F"/>
    <w:rsid w:val="002B2D88"/>
    <w:rsid w:val="002C2132"/>
    <w:rsid w:val="002C3D31"/>
    <w:rsid w:val="002C63EC"/>
    <w:rsid w:val="002C7F47"/>
    <w:rsid w:val="002D188C"/>
    <w:rsid w:val="002D5632"/>
    <w:rsid w:val="002E1EF2"/>
    <w:rsid w:val="002E58F5"/>
    <w:rsid w:val="002F10E3"/>
    <w:rsid w:val="00300A05"/>
    <w:rsid w:val="00300B76"/>
    <w:rsid w:val="0030182D"/>
    <w:rsid w:val="00301BED"/>
    <w:rsid w:val="00303AE9"/>
    <w:rsid w:val="00304900"/>
    <w:rsid w:val="00306FF5"/>
    <w:rsid w:val="00311271"/>
    <w:rsid w:val="00311F3D"/>
    <w:rsid w:val="00312928"/>
    <w:rsid w:val="003135F0"/>
    <w:rsid w:val="00313B28"/>
    <w:rsid w:val="00314C02"/>
    <w:rsid w:val="003224AD"/>
    <w:rsid w:val="0032361D"/>
    <w:rsid w:val="00323D84"/>
    <w:rsid w:val="00324525"/>
    <w:rsid w:val="00324ED2"/>
    <w:rsid w:val="0033220F"/>
    <w:rsid w:val="0033255E"/>
    <w:rsid w:val="00332C08"/>
    <w:rsid w:val="003345E9"/>
    <w:rsid w:val="0033509D"/>
    <w:rsid w:val="00336609"/>
    <w:rsid w:val="00336EAE"/>
    <w:rsid w:val="003378AE"/>
    <w:rsid w:val="003413AF"/>
    <w:rsid w:val="00342BAE"/>
    <w:rsid w:val="00344C1F"/>
    <w:rsid w:val="00344E56"/>
    <w:rsid w:val="00346034"/>
    <w:rsid w:val="003567AD"/>
    <w:rsid w:val="003579BB"/>
    <w:rsid w:val="003621DC"/>
    <w:rsid w:val="00363E3E"/>
    <w:rsid w:val="00364348"/>
    <w:rsid w:val="00371E84"/>
    <w:rsid w:val="003722C6"/>
    <w:rsid w:val="00382289"/>
    <w:rsid w:val="003826FE"/>
    <w:rsid w:val="00382780"/>
    <w:rsid w:val="0038516B"/>
    <w:rsid w:val="00387F30"/>
    <w:rsid w:val="00390B33"/>
    <w:rsid w:val="003941C5"/>
    <w:rsid w:val="00394F5E"/>
    <w:rsid w:val="003A05E3"/>
    <w:rsid w:val="003A34EB"/>
    <w:rsid w:val="003A4796"/>
    <w:rsid w:val="003A5959"/>
    <w:rsid w:val="003A5BC4"/>
    <w:rsid w:val="003B01A6"/>
    <w:rsid w:val="003B2F2F"/>
    <w:rsid w:val="003B6596"/>
    <w:rsid w:val="003B7A50"/>
    <w:rsid w:val="003C219A"/>
    <w:rsid w:val="003C220C"/>
    <w:rsid w:val="003C3D42"/>
    <w:rsid w:val="003C40A2"/>
    <w:rsid w:val="003C4844"/>
    <w:rsid w:val="003C75F8"/>
    <w:rsid w:val="003C7D4A"/>
    <w:rsid w:val="003C7FC9"/>
    <w:rsid w:val="003D00D2"/>
    <w:rsid w:val="003D243A"/>
    <w:rsid w:val="003E2337"/>
    <w:rsid w:val="003E3B96"/>
    <w:rsid w:val="003E6545"/>
    <w:rsid w:val="003F1F5A"/>
    <w:rsid w:val="003F213C"/>
    <w:rsid w:val="003F2946"/>
    <w:rsid w:val="003F5089"/>
    <w:rsid w:val="003F5233"/>
    <w:rsid w:val="003F7D07"/>
    <w:rsid w:val="00400195"/>
    <w:rsid w:val="00402C4E"/>
    <w:rsid w:val="00404AC3"/>
    <w:rsid w:val="00407665"/>
    <w:rsid w:val="00411F53"/>
    <w:rsid w:val="00413AE2"/>
    <w:rsid w:val="004145E9"/>
    <w:rsid w:val="00414B83"/>
    <w:rsid w:val="00414FAD"/>
    <w:rsid w:val="00417564"/>
    <w:rsid w:val="00417FB5"/>
    <w:rsid w:val="00422263"/>
    <w:rsid w:val="00426B7C"/>
    <w:rsid w:val="004303F3"/>
    <w:rsid w:val="00433C2E"/>
    <w:rsid w:val="004368E1"/>
    <w:rsid w:val="004417DD"/>
    <w:rsid w:val="00445F66"/>
    <w:rsid w:val="004505C2"/>
    <w:rsid w:val="00451484"/>
    <w:rsid w:val="004546DF"/>
    <w:rsid w:val="004552A9"/>
    <w:rsid w:val="004602C3"/>
    <w:rsid w:val="004623EB"/>
    <w:rsid w:val="00465CDF"/>
    <w:rsid w:val="00466530"/>
    <w:rsid w:val="004701F9"/>
    <w:rsid w:val="004718AE"/>
    <w:rsid w:val="00471FD9"/>
    <w:rsid w:val="0047643D"/>
    <w:rsid w:val="00476C83"/>
    <w:rsid w:val="00480611"/>
    <w:rsid w:val="004925FE"/>
    <w:rsid w:val="00494483"/>
    <w:rsid w:val="004970A2"/>
    <w:rsid w:val="004A073C"/>
    <w:rsid w:val="004A0B23"/>
    <w:rsid w:val="004A3AA6"/>
    <w:rsid w:val="004A5C67"/>
    <w:rsid w:val="004B014E"/>
    <w:rsid w:val="004B0C82"/>
    <w:rsid w:val="004B2CB7"/>
    <w:rsid w:val="004B3608"/>
    <w:rsid w:val="004B3B80"/>
    <w:rsid w:val="004B636C"/>
    <w:rsid w:val="004B6E5E"/>
    <w:rsid w:val="004C614C"/>
    <w:rsid w:val="004C6C2E"/>
    <w:rsid w:val="004C7111"/>
    <w:rsid w:val="004D28E5"/>
    <w:rsid w:val="004D38A7"/>
    <w:rsid w:val="004D5145"/>
    <w:rsid w:val="004D5BA0"/>
    <w:rsid w:val="004E20C5"/>
    <w:rsid w:val="004E22C8"/>
    <w:rsid w:val="004E7234"/>
    <w:rsid w:val="004F043C"/>
    <w:rsid w:val="004F649E"/>
    <w:rsid w:val="004F683A"/>
    <w:rsid w:val="004F7639"/>
    <w:rsid w:val="0050146A"/>
    <w:rsid w:val="00502BCB"/>
    <w:rsid w:val="005032A4"/>
    <w:rsid w:val="00505DBF"/>
    <w:rsid w:val="005079DC"/>
    <w:rsid w:val="00510EA6"/>
    <w:rsid w:val="00511484"/>
    <w:rsid w:val="005123DA"/>
    <w:rsid w:val="0051291E"/>
    <w:rsid w:val="005203CE"/>
    <w:rsid w:val="00520457"/>
    <w:rsid w:val="005219AB"/>
    <w:rsid w:val="005235E2"/>
    <w:rsid w:val="00527FEA"/>
    <w:rsid w:val="005326D6"/>
    <w:rsid w:val="005339F0"/>
    <w:rsid w:val="00535065"/>
    <w:rsid w:val="005424D3"/>
    <w:rsid w:val="00542518"/>
    <w:rsid w:val="0054428A"/>
    <w:rsid w:val="005448B7"/>
    <w:rsid w:val="00544C2A"/>
    <w:rsid w:val="00545ACC"/>
    <w:rsid w:val="00546DC4"/>
    <w:rsid w:val="005527B4"/>
    <w:rsid w:val="00554B3C"/>
    <w:rsid w:val="005564A9"/>
    <w:rsid w:val="005579EA"/>
    <w:rsid w:val="00560A22"/>
    <w:rsid w:val="00560A97"/>
    <w:rsid w:val="00561856"/>
    <w:rsid w:val="00564034"/>
    <w:rsid w:val="00570997"/>
    <w:rsid w:val="00572FC3"/>
    <w:rsid w:val="00575826"/>
    <w:rsid w:val="00575F26"/>
    <w:rsid w:val="00587973"/>
    <w:rsid w:val="00590993"/>
    <w:rsid w:val="005935AF"/>
    <w:rsid w:val="00593B33"/>
    <w:rsid w:val="00594CD0"/>
    <w:rsid w:val="00595069"/>
    <w:rsid w:val="005951A3"/>
    <w:rsid w:val="005960AF"/>
    <w:rsid w:val="005A24E1"/>
    <w:rsid w:val="005A4A4E"/>
    <w:rsid w:val="005A6404"/>
    <w:rsid w:val="005A649C"/>
    <w:rsid w:val="005A7A27"/>
    <w:rsid w:val="005B0264"/>
    <w:rsid w:val="005B082F"/>
    <w:rsid w:val="005B159F"/>
    <w:rsid w:val="005B19B3"/>
    <w:rsid w:val="005B2198"/>
    <w:rsid w:val="005B2B4A"/>
    <w:rsid w:val="005B3751"/>
    <w:rsid w:val="005B69DC"/>
    <w:rsid w:val="005C1DBB"/>
    <w:rsid w:val="005C35C1"/>
    <w:rsid w:val="005C7846"/>
    <w:rsid w:val="005D1DBF"/>
    <w:rsid w:val="005D40F2"/>
    <w:rsid w:val="005D5924"/>
    <w:rsid w:val="005D5A5B"/>
    <w:rsid w:val="005E1805"/>
    <w:rsid w:val="005F0E17"/>
    <w:rsid w:val="005F1A81"/>
    <w:rsid w:val="005F1F9E"/>
    <w:rsid w:val="005F2142"/>
    <w:rsid w:val="005F4F93"/>
    <w:rsid w:val="006000BF"/>
    <w:rsid w:val="006043AF"/>
    <w:rsid w:val="00607CE0"/>
    <w:rsid w:val="0061053E"/>
    <w:rsid w:val="00611CB9"/>
    <w:rsid w:val="00614DA7"/>
    <w:rsid w:val="006160CA"/>
    <w:rsid w:val="00616C72"/>
    <w:rsid w:val="00617834"/>
    <w:rsid w:val="00617E40"/>
    <w:rsid w:val="00626163"/>
    <w:rsid w:val="00626F94"/>
    <w:rsid w:val="00627082"/>
    <w:rsid w:val="0063141D"/>
    <w:rsid w:val="0063309E"/>
    <w:rsid w:val="0063490A"/>
    <w:rsid w:val="00640551"/>
    <w:rsid w:val="00641EFB"/>
    <w:rsid w:val="00642A78"/>
    <w:rsid w:val="006436AA"/>
    <w:rsid w:val="0064743E"/>
    <w:rsid w:val="00652D62"/>
    <w:rsid w:val="00653F1E"/>
    <w:rsid w:val="00654D74"/>
    <w:rsid w:val="006561F6"/>
    <w:rsid w:val="00657529"/>
    <w:rsid w:val="00665B5B"/>
    <w:rsid w:val="0066743D"/>
    <w:rsid w:val="00671ED4"/>
    <w:rsid w:val="00673072"/>
    <w:rsid w:val="00673112"/>
    <w:rsid w:val="006762C2"/>
    <w:rsid w:val="00677329"/>
    <w:rsid w:val="00683CEB"/>
    <w:rsid w:val="00683D70"/>
    <w:rsid w:val="00684D56"/>
    <w:rsid w:val="00686C49"/>
    <w:rsid w:val="006877D0"/>
    <w:rsid w:val="00690722"/>
    <w:rsid w:val="006A127D"/>
    <w:rsid w:val="006A30D4"/>
    <w:rsid w:val="006A30FF"/>
    <w:rsid w:val="006A476B"/>
    <w:rsid w:val="006A6AF1"/>
    <w:rsid w:val="006A70D3"/>
    <w:rsid w:val="006B10C7"/>
    <w:rsid w:val="006B2DE8"/>
    <w:rsid w:val="006B30D2"/>
    <w:rsid w:val="006B530B"/>
    <w:rsid w:val="006B7913"/>
    <w:rsid w:val="006C029D"/>
    <w:rsid w:val="006C1453"/>
    <w:rsid w:val="006C5260"/>
    <w:rsid w:val="006D31DF"/>
    <w:rsid w:val="006D3D1B"/>
    <w:rsid w:val="006D6598"/>
    <w:rsid w:val="006D72C6"/>
    <w:rsid w:val="006E0290"/>
    <w:rsid w:val="006E1090"/>
    <w:rsid w:val="006E787E"/>
    <w:rsid w:val="006E7919"/>
    <w:rsid w:val="006F1EC7"/>
    <w:rsid w:val="006F7108"/>
    <w:rsid w:val="007005CC"/>
    <w:rsid w:val="00701491"/>
    <w:rsid w:val="007014D0"/>
    <w:rsid w:val="00702905"/>
    <w:rsid w:val="00702EFC"/>
    <w:rsid w:val="00712C33"/>
    <w:rsid w:val="007145AD"/>
    <w:rsid w:val="007147F3"/>
    <w:rsid w:val="00716A5A"/>
    <w:rsid w:val="00722411"/>
    <w:rsid w:val="0072276F"/>
    <w:rsid w:val="00727235"/>
    <w:rsid w:val="00727E2A"/>
    <w:rsid w:val="00732B23"/>
    <w:rsid w:val="00733BCA"/>
    <w:rsid w:val="00734196"/>
    <w:rsid w:val="007362A2"/>
    <w:rsid w:val="00736BC0"/>
    <w:rsid w:val="00737C8C"/>
    <w:rsid w:val="00742637"/>
    <w:rsid w:val="00742EDA"/>
    <w:rsid w:val="00742FBA"/>
    <w:rsid w:val="007467B2"/>
    <w:rsid w:val="0075106D"/>
    <w:rsid w:val="007520AC"/>
    <w:rsid w:val="00752DF3"/>
    <w:rsid w:val="00753817"/>
    <w:rsid w:val="00753D8E"/>
    <w:rsid w:val="007611C3"/>
    <w:rsid w:val="007714A4"/>
    <w:rsid w:val="007718EC"/>
    <w:rsid w:val="00772D1F"/>
    <w:rsid w:val="00775481"/>
    <w:rsid w:val="00780126"/>
    <w:rsid w:val="00791848"/>
    <w:rsid w:val="00791D9A"/>
    <w:rsid w:val="007927AA"/>
    <w:rsid w:val="00793773"/>
    <w:rsid w:val="00793C5C"/>
    <w:rsid w:val="00796BF3"/>
    <w:rsid w:val="007A44B1"/>
    <w:rsid w:val="007A4B7B"/>
    <w:rsid w:val="007A4E60"/>
    <w:rsid w:val="007B0FA3"/>
    <w:rsid w:val="007B2630"/>
    <w:rsid w:val="007B2FE1"/>
    <w:rsid w:val="007B4B00"/>
    <w:rsid w:val="007B6B0F"/>
    <w:rsid w:val="007B7371"/>
    <w:rsid w:val="007C5A23"/>
    <w:rsid w:val="007D106E"/>
    <w:rsid w:val="007D1161"/>
    <w:rsid w:val="007D278C"/>
    <w:rsid w:val="007D7305"/>
    <w:rsid w:val="007E0DF2"/>
    <w:rsid w:val="007E3D84"/>
    <w:rsid w:val="007E45E6"/>
    <w:rsid w:val="007E4C7C"/>
    <w:rsid w:val="007F1183"/>
    <w:rsid w:val="007F19BA"/>
    <w:rsid w:val="007F22C8"/>
    <w:rsid w:val="007F429C"/>
    <w:rsid w:val="00800869"/>
    <w:rsid w:val="008015DF"/>
    <w:rsid w:val="00804B6B"/>
    <w:rsid w:val="008108D3"/>
    <w:rsid w:val="00811765"/>
    <w:rsid w:val="00812F08"/>
    <w:rsid w:val="00813EE0"/>
    <w:rsid w:val="008141C1"/>
    <w:rsid w:val="008145BC"/>
    <w:rsid w:val="008146D1"/>
    <w:rsid w:val="00815F1F"/>
    <w:rsid w:val="00821DA6"/>
    <w:rsid w:val="0082378C"/>
    <w:rsid w:val="0082530E"/>
    <w:rsid w:val="00830033"/>
    <w:rsid w:val="00830240"/>
    <w:rsid w:val="00831529"/>
    <w:rsid w:val="00831637"/>
    <w:rsid w:val="00833209"/>
    <w:rsid w:val="00841A31"/>
    <w:rsid w:val="0084256A"/>
    <w:rsid w:val="00842A80"/>
    <w:rsid w:val="00846CAA"/>
    <w:rsid w:val="0085051E"/>
    <w:rsid w:val="008520E3"/>
    <w:rsid w:val="00852103"/>
    <w:rsid w:val="00853B04"/>
    <w:rsid w:val="00854CDF"/>
    <w:rsid w:val="00855353"/>
    <w:rsid w:val="008574D7"/>
    <w:rsid w:val="00861303"/>
    <w:rsid w:val="00861E67"/>
    <w:rsid w:val="008620DB"/>
    <w:rsid w:val="0086355D"/>
    <w:rsid w:val="0086614B"/>
    <w:rsid w:val="008669C2"/>
    <w:rsid w:val="00867F28"/>
    <w:rsid w:val="0087656C"/>
    <w:rsid w:val="00883108"/>
    <w:rsid w:val="00883DD3"/>
    <w:rsid w:val="00885AB8"/>
    <w:rsid w:val="00885ED0"/>
    <w:rsid w:val="008871AA"/>
    <w:rsid w:val="00890F53"/>
    <w:rsid w:val="00891537"/>
    <w:rsid w:val="00894A10"/>
    <w:rsid w:val="008978B7"/>
    <w:rsid w:val="008A05B1"/>
    <w:rsid w:val="008A43E8"/>
    <w:rsid w:val="008B1812"/>
    <w:rsid w:val="008B2BB5"/>
    <w:rsid w:val="008B3F7F"/>
    <w:rsid w:val="008B5B30"/>
    <w:rsid w:val="008B7270"/>
    <w:rsid w:val="008C0C5B"/>
    <w:rsid w:val="008C1EE5"/>
    <w:rsid w:val="008C43D6"/>
    <w:rsid w:val="008C4A94"/>
    <w:rsid w:val="008D161E"/>
    <w:rsid w:val="008D1B9D"/>
    <w:rsid w:val="008D2BF3"/>
    <w:rsid w:val="008D44EB"/>
    <w:rsid w:val="008D52E9"/>
    <w:rsid w:val="008D53EA"/>
    <w:rsid w:val="008E00BB"/>
    <w:rsid w:val="008E106C"/>
    <w:rsid w:val="008E16F6"/>
    <w:rsid w:val="008E2625"/>
    <w:rsid w:val="008F6B81"/>
    <w:rsid w:val="008F711C"/>
    <w:rsid w:val="008F7F19"/>
    <w:rsid w:val="00900774"/>
    <w:rsid w:val="0090216B"/>
    <w:rsid w:val="009133EC"/>
    <w:rsid w:val="00914897"/>
    <w:rsid w:val="00916B2D"/>
    <w:rsid w:val="0092047F"/>
    <w:rsid w:val="0092328A"/>
    <w:rsid w:val="00923B83"/>
    <w:rsid w:val="00924355"/>
    <w:rsid w:val="00924B25"/>
    <w:rsid w:val="0092607A"/>
    <w:rsid w:val="0092672C"/>
    <w:rsid w:val="00926FA1"/>
    <w:rsid w:val="00940BE4"/>
    <w:rsid w:val="009421CF"/>
    <w:rsid w:val="009440EF"/>
    <w:rsid w:val="009463C7"/>
    <w:rsid w:val="009466DF"/>
    <w:rsid w:val="009515AD"/>
    <w:rsid w:val="00951EB7"/>
    <w:rsid w:val="00957C89"/>
    <w:rsid w:val="009603DB"/>
    <w:rsid w:val="00960EB6"/>
    <w:rsid w:val="009665C6"/>
    <w:rsid w:val="00970FB9"/>
    <w:rsid w:val="00971CBF"/>
    <w:rsid w:val="00972245"/>
    <w:rsid w:val="00972F1D"/>
    <w:rsid w:val="0097365C"/>
    <w:rsid w:val="00974F2C"/>
    <w:rsid w:val="00975102"/>
    <w:rsid w:val="00977686"/>
    <w:rsid w:val="0098554B"/>
    <w:rsid w:val="00985FC5"/>
    <w:rsid w:val="00986381"/>
    <w:rsid w:val="009868B2"/>
    <w:rsid w:val="009877F6"/>
    <w:rsid w:val="00995B4B"/>
    <w:rsid w:val="009A04D7"/>
    <w:rsid w:val="009A071A"/>
    <w:rsid w:val="009A3E6B"/>
    <w:rsid w:val="009A48C2"/>
    <w:rsid w:val="009B5239"/>
    <w:rsid w:val="009C0D1F"/>
    <w:rsid w:val="009C1DD7"/>
    <w:rsid w:val="009C73BF"/>
    <w:rsid w:val="009D0243"/>
    <w:rsid w:val="009D2F04"/>
    <w:rsid w:val="009D35D4"/>
    <w:rsid w:val="009D4DFD"/>
    <w:rsid w:val="009D4EC1"/>
    <w:rsid w:val="009D5906"/>
    <w:rsid w:val="009D7113"/>
    <w:rsid w:val="009D7615"/>
    <w:rsid w:val="009E2269"/>
    <w:rsid w:val="009E42B3"/>
    <w:rsid w:val="009E522C"/>
    <w:rsid w:val="009E57A6"/>
    <w:rsid w:val="009E7961"/>
    <w:rsid w:val="009E7F02"/>
    <w:rsid w:val="009F0F58"/>
    <w:rsid w:val="009F220F"/>
    <w:rsid w:val="009F7E44"/>
    <w:rsid w:val="00A03F62"/>
    <w:rsid w:val="00A051D4"/>
    <w:rsid w:val="00A10BB4"/>
    <w:rsid w:val="00A144C1"/>
    <w:rsid w:val="00A14DAB"/>
    <w:rsid w:val="00A15E68"/>
    <w:rsid w:val="00A1726C"/>
    <w:rsid w:val="00A20BB1"/>
    <w:rsid w:val="00A22CB9"/>
    <w:rsid w:val="00A235B6"/>
    <w:rsid w:val="00A24A8E"/>
    <w:rsid w:val="00A2684B"/>
    <w:rsid w:val="00A3400B"/>
    <w:rsid w:val="00A35516"/>
    <w:rsid w:val="00A41C56"/>
    <w:rsid w:val="00A441BB"/>
    <w:rsid w:val="00A577E1"/>
    <w:rsid w:val="00A60352"/>
    <w:rsid w:val="00A61022"/>
    <w:rsid w:val="00A61B04"/>
    <w:rsid w:val="00A6490F"/>
    <w:rsid w:val="00A665FF"/>
    <w:rsid w:val="00A67DA9"/>
    <w:rsid w:val="00A70109"/>
    <w:rsid w:val="00A70175"/>
    <w:rsid w:val="00A71C0F"/>
    <w:rsid w:val="00A71C7E"/>
    <w:rsid w:val="00A72A68"/>
    <w:rsid w:val="00A73647"/>
    <w:rsid w:val="00A77291"/>
    <w:rsid w:val="00A81371"/>
    <w:rsid w:val="00A8151F"/>
    <w:rsid w:val="00A8488A"/>
    <w:rsid w:val="00A91214"/>
    <w:rsid w:val="00A92F53"/>
    <w:rsid w:val="00A938DD"/>
    <w:rsid w:val="00A93FD3"/>
    <w:rsid w:val="00A956DE"/>
    <w:rsid w:val="00A97528"/>
    <w:rsid w:val="00AA2BEA"/>
    <w:rsid w:val="00AA3C03"/>
    <w:rsid w:val="00AA46B3"/>
    <w:rsid w:val="00AA5044"/>
    <w:rsid w:val="00AA70E6"/>
    <w:rsid w:val="00AA741B"/>
    <w:rsid w:val="00AB19BD"/>
    <w:rsid w:val="00AB3A6D"/>
    <w:rsid w:val="00AB48E0"/>
    <w:rsid w:val="00AB6F62"/>
    <w:rsid w:val="00AC18A0"/>
    <w:rsid w:val="00AC190A"/>
    <w:rsid w:val="00AC55A6"/>
    <w:rsid w:val="00AC7984"/>
    <w:rsid w:val="00AC79CE"/>
    <w:rsid w:val="00AD0215"/>
    <w:rsid w:val="00AD15FA"/>
    <w:rsid w:val="00AE0284"/>
    <w:rsid w:val="00AE2CEE"/>
    <w:rsid w:val="00AE53BD"/>
    <w:rsid w:val="00AE6632"/>
    <w:rsid w:val="00AE6954"/>
    <w:rsid w:val="00AE743A"/>
    <w:rsid w:val="00AF00BA"/>
    <w:rsid w:val="00AF28A6"/>
    <w:rsid w:val="00AF6774"/>
    <w:rsid w:val="00B007E1"/>
    <w:rsid w:val="00B014E1"/>
    <w:rsid w:val="00B06F8B"/>
    <w:rsid w:val="00B109B4"/>
    <w:rsid w:val="00B16BEE"/>
    <w:rsid w:val="00B16EA6"/>
    <w:rsid w:val="00B1712F"/>
    <w:rsid w:val="00B244D9"/>
    <w:rsid w:val="00B2496E"/>
    <w:rsid w:val="00B24A6F"/>
    <w:rsid w:val="00B30573"/>
    <w:rsid w:val="00B31C99"/>
    <w:rsid w:val="00B377E0"/>
    <w:rsid w:val="00B40AC7"/>
    <w:rsid w:val="00B40D8A"/>
    <w:rsid w:val="00B44D5A"/>
    <w:rsid w:val="00B501D3"/>
    <w:rsid w:val="00B50242"/>
    <w:rsid w:val="00B53F42"/>
    <w:rsid w:val="00B547FB"/>
    <w:rsid w:val="00B548FC"/>
    <w:rsid w:val="00B54AB3"/>
    <w:rsid w:val="00B57420"/>
    <w:rsid w:val="00B57B5B"/>
    <w:rsid w:val="00B605BE"/>
    <w:rsid w:val="00B6089D"/>
    <w:rsid w:val="00B63031"/>
    <w:rsid w:val="00B70B34"/>
    <w:rsid w:val="00B723DD"/>
    <w:rsid w:val="00B7463A"/>
    <w:rsid w:val="00B76A40"/>
    <w:rsid w:val="00B825A6"/>
    <w:rsid w:val="00B82757"/>
    <w:rsid w:val="00B91BF1"/>
    <w:rsid w:val="00B91CEE"/>
    <w:rsid w:val="00B9211D"/>
    <w:rsid w:val="00B95375"/>
    <w:rsid w:val="00B95A5F"/>
    <w:rsid w:val="00BA57EA"/>
    <w:rsid w:val="00BA5964"/>
    <w:rsid w:val="00BB0EDD"/>
    <w:rsid w:val="00BB3310"/>
    <w:rsid w:val="00BB339B"/>
    <w:rsid w:val="00BC2AC8"/>
    <w:rsid w:val="00BC4982"/>
    <w:rsid w:val="00BC510A"/>
    <w:rsid w:val="00BC6F81"/>
    <w:rsid w:val="00BD3228"/>
    <w:rsid w:val="00BD643E"/>
    <w:rsid w:val="00BE4EA8"/>
    <w:rsid w:val="00BE52CA"/>
    <w:rsid w:val="00BF014B"/>
    <w:rsid w:val="00BF15C8"/>
    <w:rsid w:val="00BF3E1F"/>
    <w:rsid w:val="00BF6770"/>
    <w:rsid w:val="00BF6B54"/>
    <w:rsid w:val="00BF6DDA"/>
    <w:rsid w:val="00C0206B"/>
    <w:rsid w:val="00C05614"/>
    <w:rsid w:val="00C057C0"/>
    <w:rsid w:val="00C1548A"/>
    <w:rsid w:val="00C15BDB"/>
    <w:rsid w:val="00C21B50"/>
    <w:rsid w:val="00C22D64"/>
    <w:rsid w:val="00C2558A"/>
    <w:rsid w:val="00C263E3"/>
    <w:rsid w:val="00C30630"/>
    <w:rsid w:val="00C324D9"/>
    <w:rsid w:val="00C330A4"/>
    <w:rsid w:val="00C347D4"/>
    <w:rsid w:val="00C405F9"/>
    <w:rsid w:val="00C41308"/>
    <w:rsid w:val="00C42075"/>
    <w:rsid w:val="00C458C6"/>
    <w:rsid w:val="00C47D1D"/>
    <w:rsid w:val="00C57139"/>
    <w:rsid w:val="00C61030"/>
    <w:rsid w:val="00C612B1"/>
    <w:rsid w:val="00C64B0A"/>
    <w:rsid w:val="00C64F82"/>
    <w:rsid w:val="00C6744B"/>
    <w:rsid w:val="00C711CD"/>
    <w:rsid w:val="00C71956"/>
    <w:rsid w:val="00C7265A"/>
    <w:rsid w:val="00C73121"/>
    <w:rsid w:val="00C7340E"/>
    <w:rsid w:val="00C75465"/>
    <w:rsid w:val="00C75872"/>
    <w:rsid w:val="00C80765"/>
    <w:rsid w:val="00C82B5E"/>
    <w:rsid w:val="00C83D81"/>
    <w:rsid w:val="00C83F58"/>
    <w:rsid w:val="00C84C96"/>
    <w:rsid w:val="00C90341"/>
    <w:rsid w:val="00C932E0"/>
    <w:rsid w:val="00C937DE"/>
    <w:rsid w:val="00C9440B"/>
    <w:rsid w:val="00C94F86"/>
    <w:rsid w:val="00C96B07"/>
    <w:rsid w:val="00CA0D4A"/>
    <w:rsid w:val="00CA12C7"/>
    <w:rsid w:val="00CA3184"/>
    <w:rsid w:val="00CA4048"/>
    <w:rsid w:val="00CA6705"/>
    <w:rsid w:val="00CB0701"/>
    <w:rsid w:val="00CB1B5E"/>
    <w:rsid w:val="00CB6207"/>
    <w:rsid w:val="00CC21B2"/>
    <w:rsid w:val="00CC445D"/>
    <w:rsid w:val="00CC6036"/>
    <w:rsid w:val="00CD0586"/>
    <w:rsid w:val="00CD20F9"/>
    <w:rsid w:val="00CD4554"/>
    <w:rsid w:val="00CD55B3"/>
    <w:rsid w:val="00CD6E5B"/>
    <w:rsid w:val="00CE12C5"/>
    <w:rsid w:val="00CE2A97"/>
    <w:rsid w:val="00CE53C6"/>
    <w:rsid w:val="00CE5AE7"/>
    <w:rsid w:val="00CE74A7"/>
    <w:rsid w:val="00CE74DE"/>
    <w:rsid w:val="00CF3C65"/>
    <w:rsid w:val="00D01F8F"/>
    <w:rsid w:val="00D07B4F"/>
    <w:rsid w:val="00D11871"/>
    <w:rsid w:val="00D15719"/>
    <w:rsid w:val="00D1595C"/>
    <w:rsid w:val="00D16931"/>
    <w:rsid w:val="00D16F6F"/>
    <w:rsid w:val="00D200D5"/>
    <w:rsid w:val="00D243C2"/>
    <w:rsid w:val="00D30207"/>
    <w:rsid w:val="00D32E24"/>
    <w:rsid w:val="00D346B6"/>
    <w:rsid w:val="00D353B8"/>
    <w:rsid w:val="00D356B6"/>
    <w:rsid w:val="00D41187"/>
    <w:rsid w:val="00D41F14"/>
    <w:rsid w:val="00D66519"/>
    <w:rsid w:val="00D719A4"/>
    <w:rsid w:val="00D75038"/>
    <w:rsid w:val="00D757BB"/>
    <w:rsid w:val="00D75915"/>
    <w:rsid w:val="00D76B64"/>
    <w:rsid w:val="00D77D8F"/>
    <w:rsid w:val="00D8334F"/>
    <w:rsid w:val="00D95744"/>
    <w:rsid w:val="00DA243D"/>
    <w:rsid w:val="00DA2B4F"/>
    <w:rsid w:val="00DA2E3B"/>
    <w:rsid w:val="00DA77D8"/>
    <w:rsid w:val="00DB2A8B"/>
    <w:rsid w:val="00DB3883"/>
    <w:rsid w:val="00DB56FA"/>
    <w:rsid w:val="00DC3D5C"/>
    <w:rsid w:val="00DC624A"/>
    <w:rsid w:val="00DD1663"/>
    <w:rsid w:val="00DD1DD5"/>
    <w:rsid w:val="00DD1ED6"/>
    <w:rsid w:val="00DE1895"/>
    <w:rsid w:val="00DE390D"/>
    <w:rsid w:val="00DE738C"/>
    <w:rsid w:val="00DF0BF9"/>
    <w:rsid w:val="00DF38F5"/>
    <w:rsid w:val="00DF4384"/>
    <w:rsid w:val="00DF4BEF"/>
    <w:rsid w:val="00DF7386"/>
    <w:rsid w:val="00DF7D84"/>
    <w:rsid w:val="00E0057E"/>
    <w:rsid w:val="00E04C1B"/>
    <w:rsid w:val="00E055A8"/>
    <w:rsid w:val="00E055B4"/>
    <w:rsid w:val="00E11C04"/>
    <w:rsid w:val="00E11CD1"/>
    <w:rsid w:val="00E13F7B"/>
    <w:rsid w:val="00E14770"/>
    <w:rsid w:val="00E14FBE"/>
    <w:rsid w:val="00E16107"/>
    <w:rsid w:val="00E209B7"/>
    <w:rsid w:val="00E21FCE"/>
    <w:rsid w:val="00E23E3C"/>
    <w:rsid w:val="00E23EC8"/>
    <w:rsid w:val="00E25D84"/>
    <w:rsid w:val="00E26041"/>
    <w:rsid w:val="00E27EEE"/>
    <w:rsid w:val="00E3071F"/>
    <w:rsid w:val="00E32C42"/>
    <w:rsid w:val="00E354F4"/>
    <w:rsid w:val="00E37AA9"/>
    <w:rsid w:val="00E4198A"/>
    <w:rsid w:val="00E42134"/>
    <w:rsid w:val="00E43CC8"/>
    <w:rsid w:val="00E445EA"/>
    <w:rsid w:val="00E44A47"/>
    <w:rsid w:val="00E45329"/>
    <w:rsid w:val="00E45635"/>
    <w:rsid w:val="00E50E7A"/>
    <w:rsid w:val="00E54234"/>
    <w:rsid w:val="00E54417"/>
    <w:rsid w:val="00E57632"/>
    <w:rsid w:val="00E57984"/>
    <w:rsid w:val="00E611EA"/>
    <w:rsid w:val="00E61D42"/>
    <w:rsid w:val="00E61DE6"/>
    <w:rsid w:val="00E61EA8"/>
    <w:rsid w:val="00E62300"/>
    <w:rsid w:val="00E66F3A"/>
    <w:rsid w:val="00E67286"/>
    <w:rsid w:val="00E70493"/>
    <w:rsid w:val="00E7051D"/>
    <w:rsid w:val="00E72D68"/>
    <w:rsid w:val="00E748F5"/>
    <w:rsid w:val="00E80C86"/>
    <w:rsid w:val="00E80E13"/>
    <w:rsid w:val="00E81A5A"/>
    <w:rsid w:val="00E82550"/>
    <w:rsid w:val="00E83DE5"/>
    <w:rsid w:val="00E8483C"/>
    <w:rsid w:val="00E84DD1"/>
    <w:rsid w:val="00E8608E"/>
    <w:rsid w:val="00E87C1B"/>
    <w:rsid w:val="00E915CF"/>
    <w:rsid w:val="00E94178"/>
    <w:rsid w:val="00E9641F"/>
    <w:rsid w:val="00EA0D2B"/>
    <w:rsid w:val="00EA0F9F"/>
    <w:rsid w:val="00EB023D"/>
    <w:rsid w:val="00EB1B4C"/>
    <w:rsid w:val="00EC3351"/>
    <w:rsid w:val="00EC5644"/>
    <w:rsid w:val="00EC6B25"/>
    <w:rsid w:val="00EC6DDE"/>
    <w:rsid w:val="00ED00BF"/>
    <w:rsid w:val="00ED2240"/>
    <w:rsid w:val="00ED6F97"/>
    <w:rsid w:val="00EE16EF"/>
    <w:rsid w:val="00EF34C0"/>
    <w:rsid w:val="00EF3FD9"/>
    <w:rsid w:val="00EF7AE5"/>
    <w:rsid w:val="00F10479"/>
    <w:rsid w:val="00F1170F"/>
    <w:rsid w:val="00F13AE7"/>
    <w:rsid w:val="00F13BFD"/>
    <w:rsid w:val="00F157FA"/>
    <w:rsid w:val="00F20591"/>
    <w:rsid w:val="00F20CD9"/>
    <w:rsid w:val="00F239F7"/>
    <w:rsid w:val="00F261CC"/>
    <w:rsid w:val="00F30CE9"/>
    <w:rsid w:val="00F30D55"/>
    <w:rsid w:val="00F322BE"/>
    <w:rsid w:val="00F32B85"/>
    <w:rsid w:val="00F34058"/>
    <w:rsid w:val="00F35A92"/>
    <w:rsid w:val="00F36D8F"/>
    <w:rsid w:val="00F4087F"/>
    <w:rsid w:val="00F41CCD"/>
    <w:rsid w:val="00F437D4"/>
    <w:rsid w:val="00F45C2E"/>
    <w:rsid w:val="00F51BEA"/>
    <w:rsid w:val="00F52CB0"/>
    <w:rsid w:val="00F56F69"/>
    <w:rsid w:val="00F61F17"/>
    <w:rsid w:val="00F61F19"/>
    <w:rsid w:val="00F620D7"/>
    <w:rsid w:val="00F750A3"/>
    <w:rsid w:val="00F75CC7"/>
    <w:rsid w:val="00F77255"/>
    <w:rsid w:val="00F83FC5"/>
    <w:rsid w:val="00F844AC"/>
    <w:rsid w:val="00F86296"/>
    <w:rsid w:val="00F927F8"/>
    <w:rsid w:val="00F9334A"/>
    <w:rsid w:val="00F952AF"/>
    <w:rsid w:val="00F9767F"/>
    <w:rsid w:val="00FA1B4E"/>
    <w:rsid w:val="00FA2351"/>
    <w:rsid w:val="00FA261E"/>
    <w:rsid w:val="00FA578B"/>
    <w:rsid w:val="00FA5E03"/>
    <w:rsid w:val="00FB6F48"/>
    <w:rsid w:val="00FC199A"/>
    <w:rsid w:val="00FC31F1"/>
    <w:rsid w:val="00FC4789"/>
    <w:rsid w:val="00FD1623"/>
    <w:rsid w:val="00FD1F8B"/>
    <w:rsid w:val="00FD6E21"/>
    <w:rsid w:val="00FD7C93"/>
    <w:rsid w:val="00FE10A4"/>
    <w:rsid w:val="00FE26B2"/>
    <w:rsid w:val="00FE4C59"/>
    <w:rsid w:val="00FE656D"/>
    <w:rsid w:val="00FE6BA3"/>
    <w:rsid w:val="00FE74C4"/>
    <w:rsid w:val="00FF2CEB"/>
    <w:rsid w:val="00FF4523"/>
    <w:rsid w:val="00FF5858"/>
    <w:rsid w:val="00FF6B1B"/>
    <w:rsid w:val="00FF772C"/>
    <w:rsid w:val="0AB5FED0"/>
    <w:rsid w:val="459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5D70C"/>
  <w14:defaultImageDpi w14:val="0"/>
  <w15:docId w15:val="{0CDDE478-64E1-4BBE-9DC0-340A2526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07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1B5A"/>
    <w:pPr>
      <w:keepNext/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1B5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qFormat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Subst">
    <w:name w:val="Subst"/>
    <w:uiPriority w:val="99"/>
    <w:rPr>
      <w:b/>
      <w:i/>
    </w:rPr>
  </w:style>
  <w:style w:type="paragraph" w:styleId="11">
    <w:name w:val="toc 1"/>
    <w:basedOn w:val="a"/>
    <w:next w:val="a"/>
    <w:autoRedefine/>
    <w:uiPriority w:val="39"/>
    <w:unhideWhenUsed/>
    <w:rsid w:val="005079DC"/>
    <w:pPr>
      <w:tabs>
        <w:tab w:val="right" w:leader="dot" w:pos="9061"/>
      </w:tabs>
    </w:pPr>
  </w:style>
  <w:style w:type="paragraph" w:styleId="21">
    <w:name w:val="toc 2"/>
    <w:basedOn w:val="a"/>
    <w:next w:val="a"/>
    <w:autoRedefine/>
    <w:uiPriority w:val="39"/>
    <w:unhideWhenUsed/>
    <w:rsid w:val="008C4A94"/>
    <w:pPr>
      <w:ind w:left="200"/>
    </w:pPr>
  </w:style>
  <w:style w:type="paragraph" w:customStyle="1" w:styleId="Default">
    <w:name w:val="Default"/>
    <w:rsid w:val="0067732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95A5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B95A5F"/>
    <w:pPr>
      <w:ind w:left="720"/>
      <w:contextualSpacing/>
    </w:pPr>
    <w:rPr>
      <w:lang w:eastAsia="en-US"/>
    </w:rPr>
  </w:style>
  <w:style w:type="paragraph" w:customStyle="1" w:styleId="Basic">
    <w:name w:val="Basic"/>
    <w:basedOn w:val="a"/>
    <w:link w:val="BasicChar"/>
    <w:qFormat/>
    <w:rsid w:val="00B95A5F"/>
    <w:pPr>
      <w:widowControl/>
      <w:autoSpaceDE/>
      <w:autoSpaceDN/>
      <w:adjustRightInd/>
      <w:spacing w:before="0" w:after="0"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B95A5F"/>
    <w:rPr>
      <w:rFonts w:ascii="Times New Roman" w:hAnsi="Times New Roman"/>
      <w:sz w:val="20"/>
      <w:lang w:val="x-none" w:eastAsia="en-US"/>
    </w:rPr>
  </w:style>
  <w:style w:type="paragraph" w:styleId="a7">
    <w:name w:val="Normal (Web)"/>
    <w:aliases w:val="Обычный (веб) Знак,Обычный (Web) Знак,Char Char Char Char Char Char Char Char Char Char Char Char Char Char Char Char Char Char Char"/>
    <w:basedOn w:val="a"/>
    <w:link w:val="a8"/>
    <w:uiPriority w:val="99"/>
    <w:unhideWhenUsed/>
    <w:qFormat/>
    <w:rsid w:val="00B95A5F"/>
    <w:pPr>
      <w:widowControl/>
      <w:autoSpaceDE/>
      <w:autoSpaceDN/>
      <w:adjustRightInd/>
      <w:spacing w:before="0" w:after="295" w:line="314" w:lineRule="atLeast"/>
    </w:pPr>
    <w:rPr>
      <w:sz w:val="24"/>
      <w:szCs w:val="24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locked/>
    <w:rsid w:val="00B95A5F"/>
    <w:rPr>
      <w:rFonts w:ascii="Times New Roman" w:hAnsi="Times New Roman"/>
      <w:sz w:val="20"/>
      <w:lang w:val="x-none" w:eastAsia="en-US"/>
    </w:rPr>
  </w:style>
  <w:style w:type="table" w:styleId="a9">
    <w:name w:val="Table Grid"/>
    <w:basedOn w:val="a1"/>
    <w:uiPriority w:val="59"/>
    <w:rsid w:val="00B95A5F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Интернет) Знак"/>
    <w:aliases w:val="Обычный (веб) Знак Знак,Обычный (Web) Знак Знак,Char Char Char Char Char Char Char Char Char Char Char Char Char Char Char Char Char Char Char Знак"/>
    <w:link w:val="a7"/>
    <w:uiPriority w:val="99"/>
    <w:locked/>
    <w:rsid w:val="00B95A5F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336EAE"/>
    <w:rPr>
      <w:rFonts w:cs="Times New Roman"/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336E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36EAE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36E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36EAE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36E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36EAE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336EAE"/>
    <w:rPr>
      <w:rFonts w:cs="Times New Roman"/>
      <w:b/>
    </w:rPr>
  </w:style>
  <w:style w:type="character" w:styleId="af2">
    <w:name w:val="annotation reference"/>
    <w:basedOn w:val="a0"/>
    <w:uiPriority w:val="99"/>
    <w:semiHidden/>
    <w:unhideWhenUsed/>
    <w:rsid w:val="00336EA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336EAE"/>
    <w:pPr>
      <w:widowControl/>
      <w:autoSpaceDE/>
      <w:autoSpaceDN/>
      <w:adjustRightInd/>
      <w:spacing w:before="0" w:after="0"/>
    </w:pPr>
    <w:rPr>
      <w:rFonts w:ascii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336EAE"/>
    <w:rPr>
      <w:rFonts w:ascii="Calibri" w:hAnsi="Calibri" w:cs="Times New Roman"/>
      <w:sz w:val="20"/>
      <w:szCs w:val="20"/>
      <w:lang w:val="x-none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36EAE"/>
    <w:pPr>
      <w:spacing w:before="0" w:after="0"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336EAE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36EAE"/>
    <w:rPr>
      <w:rFonts w:cs="Times New Roman"/>
      <w:vertAlign w:val="superscript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336EAE"/>
    <w:pPr>
      <w:widowControl w:val="0"/>
      <w:autoSpaceDE w:val="0"/>
      <w:autoSpaceDN w:val="0"/>
      <w:adjustRightInd w:val="0"/>
      <w:spacing w:before="20" w:after="40"/>
    </w:pPr>
    <w:rPr>
      <w:rFonts w:ascii="Times New Roman" w:hAnsi="Times New Roman"/>
      <w:b/>
      <w:bCs/>
      <w:lang w:eastAsia="ru-RU"/>
    </w:rPr>
  </w:style>
  <w:style w:type="character" w:customStyle="1" w:styleId="af9">
    <w:name w:val="Тема примечания Знак"/>
    <w:basedOn w:val="af4"/>
    <w:link w:val="af8"/>
    <w:uiPriority w:val="99"/>
    <w:semiHidden/>
    <w:locked/>
    <w:rsid w:val="00336EAE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styleId="afa">
    <w:name w:val="FollowedHyperlink"/>
    <w:basedOn w:val="a0"/>
    <w:uiPriority w:val="99"/>
    <w:semiHidden/>
    <w:unhideWhenUsed/>
    <w:rsid w:val="00336EAE"/>
    <w:rPr>
      <w:rFonts w:cs="Times New Roman"/>
      <w:color w:val="954F72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220BDB"/>
  </w:style>
  <w:style w:type="character" w:customStyle="1" w:styleId="afc">
    <w:name w:val="Текст концевой сноски Знак"/>
    <w:basedOn w:val="a0"/>
    <w:link w:val="afb"/>
    <w:uiPriority w:val="99"/>
    <w:semiHidden/>
    <w:locked/>
    <w:rsid w:val="00220BDB"/>
    <w:rPr>
      <w:rFonts w:ascii="Times New Roman" w:hAnsi="Times New Roman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20BDB"/>
    <w:rPr>
      <w:rFonts w:cs="Times New Roman"/>
      <w:vertAlign w:val="superscript"/>
    </w:rPr>
  </w:style>
  <w:style w:type="paragraph" w:customStyle="1" w:styleId="-">
    <w:name w:val="ОЭ - курсив жирный"/>
    <w:basedOn w:val="ConsPlusNormal"/>
    <w:link w:val="-0"/>
    <w:qFormat/>
    <w:rsid w:val="007B2FE1"/>
    <w:pPr>
      <w:spacing w:before="120"/>
      <w:jc w:val="both"/>
    </w:pPr>
    <w:rPr>
      <w:rFonts w:eastAsia="Times New Roman"/>
      <w:b/>
      <w:bCs/>
      <w:i/>
      <w:iCs/>
    </w:rPr>
  </w:style>
  <w:style w:type="character" w:customStyle="1" w:styleId="-0">
    <w:name w:val="ОЭ - курсив жирный Знак"/>
    <w:basedOn w:val="a0"/>
    <w:link w:val="-"/>
    <w:rsid w:val="007B2FE1"/>
    <w:rPr>
      <w:rFonts w:ascii="Times New Roman" w:eastAsia="Times New Roman" w:hAnsi="Times New Roman"/>
      <w:b/>
      <w:bCs/>
      <w:i/>
      <w:iCs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rsid w:val="00B54AB3"/>
    <w:rPr>
      <w:rFonts w:ascii="Times New Roman" w:hAnsi="Times New Roman"/>
      <w:sz w:val="20"/>
      <w:szCs w:val="20"/>
      <w:lang w:eastAsia="en-US"/>
    </w:rPr>
  </w:style>
  <w:style w:type="paragraph" w:styleId="afe">
    <w:name w:val="Revision"/>
    <w:hidden/>
    <w:uiPriority w:val="99"/>
    <w:semiHidden/>
    <w:rsid w:val="00701491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sclosure.skrin.ru/disclosure/1658008723" TargetMode="External"/><Relationship Id="rId18" Type="http://schemas.openxmlformats.org/officeDocument/2006/relationships/hyperlink" Target="https://disclosure.skrin.ru/disclosure/1658008723/?DTI=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sclosure.skrin.ru/disclosure/1658008723/?DTI=9" TargetMode="External"/><Relationship Id="rId7" Type="http://schemas.openxmlformats.org/officeDocument/2006/relationships/styles" Target="styles.xml"/><Relationship Id="rId12" Type="http://schemas.openxmlformats.org/officeDocument/2006/relationships/hyperlink" Target="mailto:arsentevalr@rt.sibur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rrost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disclosure.skrin.ru/disclosure/1658008723/?DTI=8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upload/iblock/80e/t4ayajk22d101vanc8gd3owmjl5xdksf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sclosure.skrin.ru/disclosure/1658008723/?DTI=9" TargetMode="External"/><Relationship Id="rId22" Type="http://schemas.openxmlformats.org/officeDocument/2006/relationships/hyperlink" Target="https://disclosure.skrin.ru/disclosure/1658008723/?DTI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50D843B5F0F34C870124137EBC1F2B" ma:contentTypeVersion="1" ma:contentTypeDescription="Создание документа." ma:contentTypeScope="" ma:versionID="81d5b8d23fa79ff515c1e86003192294">
  <xsd:schema xmlns:xsd="http://www.w3.org/2001/XMLSchema" xmlns:xs="http://www.w3.org/2001/XMLSchema" xmlns:p="http://schemas.microsoft.com/office/2006/metadata/properties" xmlns:ns2="f089171f-9a62-46ba-b25a-510fcfdc944d" xmlns:ns3="e4b1dbff-89ba-4224-af1a-b99704802401" targetNamespace="http://schemas.microsoft.com/office/2006/metadata/properties" ma:root="true" ma:fieldsID="0dfb1fa3b02feb2a526a9a11728a582b" ns2:_="" ns3:_="">
    <xsd:import namespace="f089171f-9a62-46ba-b25a-510fcfdc944d"/>
    <xsd:import namespace="e4b1dbff-89ba-4224-af1a-b99704802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1dbff-89ba-4224-af1a-b99704802401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LEGDHKNZFHQE-23-195717</_dlc_DocId>
    <_dlc_DocIdUrl xmlns="f089171f-9a62-46ba-b25a-510fcfdc944d">
      <Url>https://sharepoint.sibur.local/Legal/_layouts/15/DocIdRedir.aspx?ID=LEGDHKNZFHQE-23-195717</Url>
      <Description>LEGDHKNZFHQE-23-195717</Description>
    </_dlc_DocIdUrl>
    <_x041a__x043e__x043c__x043c__x0435__x043d__x0442__x0430__x0440__x0438__x0438_ xmlns="e4b1dbff-89ba-4224-af1a-b997048024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C7A-D6E9-4832-BE01-E167A3CE2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e4b1dbff-89ba-4224-af1a-b99704802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A644C-2760-49E4-A5E8-0D53B8C710F3}">
  <ds:schemaRefs>
    <ds:schemaRef ds:uri="http://schemas.microsoft.com/office/2006/metadata/properties"/>
    <ds:schemaRef ds:uri="http://schemas.microsoft.com/office/infopath/2007/PartnerControls"/>
    <ds:schemaRef ds:uri="f089171f-9a62-46ba-b25a-510fcfdc944d"/>
    <ds:schemaRef ds:uri="e4b1dbff-89ba-4224-af1a-b99704802401"/>
  </ds:schemaRefs>
</ds:datastoreItem>
</file>

<file path=customXml/itemProps3.xml><?xml version="1.0" encoding="utf-8"?>
<ds:datastoreItem xmlns:ds="http://schemas.openxmlformats.org/officeDocument/2006/customXml" ds:itemID="{AF5F2A0B-3826-4F14-B2A2-AF936253F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E05BB-15D9-4774-B481-4E6F1C0E36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2FA5B2-4BA1-4580-BBCF-648E44DB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13311</Words>
  <Characters>75876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Ляйсан Ринатовна</dc:creator>
  <cp:keywords/>
  <dc:description/>
  <cp:lastModifiedBy>Анастасия</cp:lastModifiedBy>
  <cp:revision>2</cp:revision>
  <cp:lastPrinted>2023-09-27T15:17:00Z</cp:lastPrinted>
  <dcterms:created xsi:type="dcterms:W3CDTF">2025-04-03T07:55:00Z</dcterms:created>
  <dcterms:modified xsi:type="dcterms:W3CDTF">2025-04-03T07:55:00Z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d47aba4f-5bef-45fe-9b93-cc26b998fe4e</vt:lpwstr>
  </property>
  <property fmtid="{D5CDD505-2E9C-101B-9397-08002B2CF9AE}" pid="3" name="ContentTypeId">
    <vt:lpwstr>0x0101001F50D843B5F0F34C870124137EBC1F2B</vt:lpwstr>
  </property>
</Properties>
</file>